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黑体" w:hAnsi="黑体" w:eastAsia="黑体"/>
          <w:sz w:val="32"/>
          <w:szCs w:val="32"/>
          <w:lang w:val="en-US" w:eastAsia="zh-CN"/>
        </w:rPr>
      </w:pPr>
      <w:bookmarkStart w:id="1" w:name="_GoBack"/>
      <w:bookmarkEnd w:id="1"/>
      <w:r>
        <w:rPr>
          <w:rFonts w:hint="eastAsia" w:ascii="黑体" w:hAnsi="黑体" w:eastAsia="黑体"/>
          <w:sz w:val="32"/>
          <w:szCs w:val="32"/>
          <w:lang w:eastAsia="zh-CN"/>
        </w:rPr>
        <w:t>附件</w:t>
      </w:r>
      <w:r>
        <w:rPr>
          <w:rFonts w:hint="eastAsia" w:ascii="黑体" w:hAnsi="黑体" w:eastAsia="黑体"/>
          <w:sz w:val="32"/>
          <w:szCs w:val="32"/>
          <w:lang w:val="en-US" w:eastAsia="zh-CN"/>
        </w:rPr>
        <w:t>7</w:t>
      </w:r>
    </w:p>
    <w:p>
      <w:pPr>
        <w:jc w:val="center"/>
        <w:rPr>
          <w:rFonts w:ascii="方正小标宋简体" w:hAnsi="华文中宋" w:eastAsia="方正小标宋简体" w:cs="Times New Roman"/>
          <w:sz w:val="44"/>
          <w:szCs w:val="44"/>
        </w:rPr>
      </w:pPr>
      <w:r>
        <w:rPr>
          <w:rFonts w:hint="eastAsia" w:ascii="方正小标宋简体" w:hAnsi="华文中宋" w:eastAsia="方正小标宋简体" w:cs="Times New Roman"/>
          <w:sz w:val="44"/>
          <w:szCs w:val="44"/>
        </w:rPr>
        <w:t>中山大学第</w:t>
      </w:r>
      <w:r>
        <w:rPr>
          <w:rFonts w:hint="eastAsia" w:ascii="方正小标宋简体" w:hAnsi="华文中宋" w:eastAsia="方正小标宋简体" w:cs="Times New Roman"/>
          <w:sz w:val="44"/>
          <w:szCs w:val="44"/>
          <w:lang w:eastAsia="zh-CN"/>
        </w:rPr>
        <w:t>四</w:t>
      </w:r>
      <w:r>
        <w:rPr>
          <w:rFonts w:hint="eastAsia" w:ascii="方正小标宋简体" w:hAnsi="华文中宋" w:eastAsia="方正小标宋简体" w:cs="Times New Roman"/>
          <w:sz w:val="44"/>
          <w:szCs w:val="44"/>
        </w:rPr>
        <w:t>十六次</w:t>
      </w:r>
      <w:r>
        <w:rPr>
          <w:rFonts w:hint="eastAsia" w:ascii="方正小标宋简体" w:hAnsi="华文中宋" w:eastAsia="方正小标宋简体" w:cs="Times New Roman"/>
          <w:sz w:val="44"/>
          <w:szCs w:val="44"/>
          <w:lang w:eastAsia="zh-CN"/>
        </w:rPr>
        <w:t>学</w:t>
      </w:r>
      <w:r>
        <w:rPr>
          <w:rFonts w:hint="eastAsia" w:ascii="方正小标宋简体" w:hAnsi="华文中宋" w:eastAsia="方正小标宋简体" w:cs="Times New Roman"/>
          <w:sz w:val="44"/>
          <w:szCs w:val="44"/>
        </w:rPr>
        <w:t>生代表大会</w:t>
      </w:r>
    </w:p>
    <w:p>
      <w:pPr>
        <w:jc w:val="center"/>
        <w:rPr>
          <w:rFonts w:ascii="方正小标宋简体" w:hAnsi="华文中宋" w:eastAsia="方正小标宋简体" w:cs="Times New Roman"/>
          <w:sz w:val="44"/>
          <w:szCs w:val="44"/>
        </w:rPr>
      </w:pPr>
      <w:bookmarkStart w:id="0" w:name="_Toc1601"/>
      <w:r>
        <w:rPr>
          <w:rFonts w:hint="eastAsia" w:ascii="方正小标宋简体" w:hAnsi="华文中宋" w:eastAsia="方正小标宋简体" w:cs="Times New Roman"/>
          <w:sz w:val="44"/>
          <w:szCs w:val="44"/>
        </w:rPr>
        <w:t>代表产生办法</w:t>
      </w:r>
      <w:bookmarkEnd w:id="0"/>
    </w:p>
    <w:p>
      <w:pPr>
        <w:adjustRightInd w:val="0"/>
        <w:snapToGrid w:val="0"/>
        <w:spacing w:line="560" w:lineRule="exact"/>
        <w:ind w:left="720"/>
        <w:rPr>
          <w:rFonts w:ascii="Times New Roman" w:hAnsi="Times New Roman" w:eastAsia="黑体" w:cs="Times New Roman"/>
          <w:sz w:val="28"/>
          <w:szCs w:val="32"/>
        </w:rPr>
      </w:pP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 xml:space="preserve">第一条 </w:t>
      </w:r>
      <w:r>
        <w:rPr>
          <w:rFonts w:ascii="Times New Roman" w:hAnsi="Times New Roman" w:eastAsia="仿宋" w:cs="Times New Roman"/>
          <w:bCs/>
          <w:sz w:val="32"/>
          <w:szCs w:val="36"/>
        </w:rPr>
        <w:t xml:space="preserve"> 中山大学第</w:t>
      </w:r>
      <w:r>
        <w:rPr>
          <w:rFonts w:hint="eastAsia" w:ascii="Times New Roman" w:hAnsi="Times New Roman" w:eastAsia="仿宋" w:cs="Times New Roman"/>
          <w:bCs/>
          <w:sz w:val="32"/>
          <w:szCs w:val="36"/>
        </w:rPr>
        <w:t>四十六</w:t>
      </w:r>
      <w:r>
        <w:rPr>
          <w:rFonts w:ascii="Times New Roman" w:hAnsi="Times New Roman" w:eastAsia="仿宋" w:cs="Times New Roman"/>
          <w:bCs/>
          <w:sz w:val="32"/>
          <w:szCs w:val="36"/>
        </w:rPr>
        <w:t>次</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生代表大会代表及常任代表需满足以下条件：</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eastAsia="仿宋" w:cs="Times New Roman"/>
          <w:bCs/>
          <w:sz w:val="32"/>
          <w:szCs w:val="36"/>
        </w:rPr>
        <w:t xml:space="preserve">（一） </w:t>
      </w:r>
      <w:r>
        <w:rPr>
          <w:rFonts w:ascii="Times New Roman" w:hAnsi="Times New Roman" w:eastAsia="仿宋" w:cs="Times New Roman"/>
          <w:bCs/>
          <w:sz w:val="32"/>
          <w:szCs w:val="36"/>
        </w:rPr>
        <w:t>具有中山大学学籍的</w:t>
      </w:r>
      <w:r>
        <w:rPr>
          <w:rFonts w:hint="eastAsia" w:ascii="Times New Roman" w:hAnsi="Times New Roman" w:eastAsia="仿宋" w:cs="Times New Roman"/>
          <w:bCs/>
          <w:sz w:val="32"/>
          <w:szCs w:val="36"/>
        </w:rPr>
        <w:t>本科生</w:t>
      </w:r>
      <w:r>
        <w:rPr>
          <w:rFonts w:ascii="Times New Roman" w:hAnsi="Times New Roman" w:eastAsia="仿宋" w:cs="Times New Roman"/>
          <w:bCs/>
          <w:sz w:val="32"/>
          <w:szCs w:val="36"/>
        </w:rPr>
        <w:t>；</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eastAsia="仿宋" w:cs="Times New Roman"/>
          <w:bCs/>
          <w:sz w:val="32"/>
          <w:szCs w:val="36"/>
        </w:rPr>
        <w:t xml:space="preserve">（二） </w:t>
      </w:r>
      <w:r>
        <w:rPr>
          <w:rFonts w:hint="eastAsia" w:ascii="Times New Roman" w:hAnsi="Times New Roman" w:eastAsia="仿宋" w:cs="Times New Roman"/>
          <w:bCs/>
          <w:sz w:val="32"/>
          <w:szCs w:val="36"/>
        </w:rPr>
        <w:t>坚持四项基本原则，拥护党的各项方针政策，</w:t>
      </w:r>
      <w:r>
        <w:rPr>
          <w:rFonts w:hint="eastAsia" w:eastAsia="仿宋" w:cs="Times New Roman"/>
          <w:bCs/>
          <w:sz w:val="32"/>
          <w:szCs w:val="36"/>
        </w:rPr>
        <w:t>具</w:t>
      </w:r>
      <w:r>
        <w:rPr>
          <w:rFonts w:hint="eastAsia" w:ascii="Times New Roman" w:hAnsi="Times New Roman" w:eastAsia="仿宋" w:cs="Times New Roman"/>
          <w:bCs/>
          <w:sz w:val="32"/>
          <w:szCs w:val="36"/>
        </w:rPr>
        <w:t>有较高的政治觉悟，德、智、体、美、劳全面发展；</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eastAsia="仿宋" w:cs="Times New Roman"/>
          <w:bCs/>
          <w:sz w:val="32"/>
          <w:szCs w:val="36"/>
        </w:rPr>
        <w:t xml:space="preserve">（三） </w:t>
      </w:r>
      <w:r>
        <w:rPr>
          <w:rFonts w:ascii="Times New Roman" w:hAnsi="Times New Roman" w:eastAsia="仿宋" w:cs="Times New Roman"/>
          <w:bCs/>
          <w:sz w:val="32"/>
          <w:szCs w:val="36"/>
        </w:rPr>
        <w:t>学习成绩良好，在读期间必修课和专业选修课程无不及格科目</w:t>
      </w:r>
      <w:r>
        <w:rPr>
          <w:rFonts w:hint="eastAsia" w:ascii="Times New Roman" w:hAnsi="Times New Roman" w:eastAsia="仿宋" w:cs="Times New Roman"/>
          <w:bCs/>
          <w:sz w:val="32"/>
          <w:szCs w:val="36"/>
        </w:rPr>
        <w:t>；</w:t>
      </w:r>
      <w:r>
        <w:rPr>
          <w:rFonts w:ascii="Times New Roman" w:hAnsi="Times New Roman" w:eastAsia="仿宋" w:cs="Times New Roman"/>
          <w:bCs/>
          <w:sz w:val="32"/>
          <w:szCs w:val="36"/>
        </w:rPr>
        <w:t>其中，常任代表</w:t>
      </w:r>
      <w:r>
        <w:rPr>
          <w:rFonts w:hint="eastAsia" w:ascii="Times New Roman" w:hAnsi="Times New Roman" w:eastAsia="仿宋" w:cs="Times New Roman"/>
          <w:bCs/>
          <w:sz w:val="32"/>
          <w:szCs w:val="36"/>
        </w:rPr>
        <w:t>的</w:t>
      </w:r>
      <w:r>
        <w:rPr>
          <w:rFonts w:ascii="Times New Roman" w:hAnsi="Times New Roman" w:eastAsia="仿宋" w:cs="Times New Roman"/>
          <w:bCs/>
          <w:sz w:val="32"/>
          <w:szCs w:val="36"/>
        </w:rPr>
        <w:t>综合成绩排名居所在班级前50%；</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eastAsia="仿宋" w:cs="Times New Roman"/>
          <w:bCs/>
          <w:sz w:val="32"/>
          <w:szCs w:val="36"/>
        </w:rPr>
        <w:t xml:space="preserve">（四） </w:t>
      </w:r>
      <w:r>
        <w:rPr>
          <w:rFonts w:ascii="Times New Roman" w:hAnsi="Times New Roman" w:eastAsia="仿宋" w:cs="Times New Roman"/>
          <w:bCs/>
          <w:sz w:val="32"/>
          <w:szCs w:val="36"/>
        </w:rPr>
        <w:t>在学习、工作、公益、文体等某方面或多方面具有代表性；</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eastAsia="仿宋" w:cs="Times New Roman"/>
          <w:bCs/>
          <w:sz w:val="32"/>
          <w:szCs w:val="36"/>
        </w:rPr>
        <w:t xml:space="preserve">（五） </w:t>
      </w:r>
      <w:r>
        <w:rPr>
          <w:rFonts w:ascii="Times New Roman" w:hAnsi="Times New Roman" w:eastAsia="仿宋" w:cs="Times New Roman"/>
          <w:bCs/>
          <w:sz w:val="32"/>
          <w:szCs w:val="36"/>
        </w:rPr>
        <w:t>无违法违纪记录。</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第二条</w:t>
      </w:r>
      <w:r>
        <w:rPr>
          <w:rFonts w:ascii="Times New Roman" w:hAnsi="Times New Roman" w:eastAsia="仿宋" w:cs="Times New Roman"/>
          <w:bCs/>
          <w:sz w:val="32"/>
          <w:szCs w:val="36"/>
        </w:rPr>
        <w:t xml:space="preserve">  大会按各培养单位</w:t>
      </w:r>
      <w:r>
        <w:rPr>
          <w:rFonts w:hint="eastAsia" w:ascii="Times New Roman" w:hAnsi="Times New Roman" w:eastAsia="仿宋" w:cs="Times New Roman"/>
          <w:bCs/>
          <w:sz w:val="32"/>
          <w:szCs w:val="36"/>
        </w:rPr>
        <w:t>本科</w:t>
      </w:r>
      <w:r>
        <w:rPr>
          <w:rFonts w:ascii="Times New Roman" w:hAnsi="Times New Roman" w:eastAsia="仿宋" w:cs="Times New Roman"/>
          <w:bCs/>
          <w:sz w:val="32"/>
          <w:szCs w:val="36"/>
        </w:rPr>
        <w:t>生人数比例设置学生代表，其中包含1名常任代表，常任代表不得担任</w:t>
      </w:r>
      <w:r>
        <w:rPr>
          <w:rFonts w:hint="eastAsia" w:ascii="Times New Roman" w:hAnsi="Times New Roman" w:eastAsia="仿宋" w:cs="Times New Roman"/>
          <w:bCs/>
          <w:sz w:val="32"/>
          <w:szCs w:val="36"/>
        </w:rPr>
        <w:t>校学</w:t>
      </w:r>
      <w:r>
        <w:rPr>
          <w:rFonts w:ascii="Times New Roman" w:hAnsi="Times New Roman" w:eastAsia="仿宋" w:cs="Times New Roman"/>
          <w:bCs/>
          <w:sz w:val="32"/>
          <w:szCs w:val="36"/>
        </w:rPr>
        <w:t>生会、培养单位</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生会职务，需要承担校</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生会的议事监督职能，负责密切联系本培养单位同学，反映同学心声，监督</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生会工作</w:t>
      </w:r>
      <w:r>
        <w:rPr>
          <w:rFonts w:hint="eastAsia" w:ascii="Times New Roman" w:hAnsi="Times New Roman" w:eastAsia="仿宋" w:cs="Times New Roman"/>
          <w:bCs/>
          <w:sz w:val="32"/>
          <w:szCs w:val="36"/>
        </w:rPr>
        <w:t>。</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 xml:space="preserve">第三条 </w:t>
      </w:r>
      <w:r>
        <w:rPr>
          <w:rFonts w:ascii="Times New Roman" w:hAnsi="Times New Roman" w:eastAsia="仿宋" w:cs="Times New Roman"/>
          <w:bCs/>
          <w:sz w:val="32"/>
          <w:szCs w:val="36"/>
        </w:rPr>
        <w:t xml:space="preserve"> </w:t>
      </w:r>
      <w:r>
        <w:rPr>
          <w:rFonts w:hint="eastAsia" w:ascii="Times New Roman" w:hAnsi="Times New Roman" w:eastAsia="仿宋" w:cs="Times New Roman"/>
          <w:bCs/>
          <w:sz w:val="32"/>
          <w:szCs w:val="36"/>
        </w:rPr>
        <w:t>要注重代表的广泛性及代表性，各培养单位代表名额总数不低于该培养单位本科生人数的1%，且每个培养单位不少于</w:t>
      </w:r>
      <w:r>
        <w:rPr>
          <w:rFonts w:ascii="Times New Roman" w:hAnsi="Times New Roman" w:eastAsia="仿宋" w:cs="Times New Roman"/>
          <w:bCs/>
          <w:sz w:val="32"/>
          <w:szCs w:val="36"/>
        </w:rPr>
        <w:t>3</w:t>
      </w:r>
      <w:r>
        <w:rPr>
          <w:rFonts w:hint="eastAsia" w:ascii="Times New Roman" w:hAnsi="Times New Roman" w:eastAsia="仿宋" w:cs="Times New Roman"/>
          <w:bCs/>
          <w:sz w:val="32"/>
          <w:szCs w:val="36"/>
        </w:rPr>
        <w:t>人（含常任代表）。</w:t>
      </w:r>
      <w:r>
        <w:rPr>
          <w:rFonts w:ascii="Times New Roman" w:hAnsi="Times New Roman" w:eastAsia="仿宋" w:cs="Times New Roman"/>
          <w:bCs/>
          <w:sz w:val="32"/>
          <w:szCs w:val="36"/>
        </w:rPr>
        <w:t>名额分配要覆盖本单位各年级</w:t>
      </w:r>
      <w:r>
        <w:rPr>
          <w:rFonts w:hint="eastAsia" w:ascii="Times New Roman" w:hAnsi="Times New Roman" w:eastAsia="仿宋" w:cs="Times New Roman"/>
          <w:bCs/>
          <w:sz w:val="32"/>
          <w:szCs w:val="36"/>
        </w:rPr>
        <w:t>及主要学生社团，尽可能保证少数民族代表、港澳台学生代表及留学生代表比例，并确保学生代表中非校、院（系）级学生会骨干成员的学生代表比例不少于60%。</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第四条</w:t>
      </w:r>
      <w:r>
        <w:rPr>
          <w:rFonts w:ascii="Times New Roman" w:hAnsi="Times New Roman" w:eastAsia="仿宋" w:cs="Times New Roman"/>
          <w:bCs/>
          <w:sz w:val="32"/>
          <w:szCs w:val="36"/>
        </w:rPr>
        <w:t xml:space="preserve">  学生代表及常任代表的选举或选拔应在各培养单位党委领导</w:t>
      </w:r>
      <w:r>
        <w:rPr>
          <w:rFonts w:hint="eastAsia" w:ascii="Times New Roman" w:hAnsi="Times New Roman" w:eastAsia="仿宋" w:cs="Times New Roman"/>
          <w:bCs/>
          <w:sz w:val="32"/>
          <w:szCs w:val="36"/>
        </w:rPr>
        <w:t>、团委指导下进行</w:t>
      </w:r>
      <w:r>
        <w:rPr>
          <w:rFonts w:ascii="Times New Roman" w:hAnsi="Times New Roman" w:eastAsia="仿宋" w:cs="Times New Roman"/>
          <w:bCs/>
          <w:sz w:val="32"/>
          <w:szCs w:val="36"/>
        </w:rPr>
        <w:t>，由各培养单位根据实际情况组织实施。</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 xml:space="preserve">第五条 </w:t>
      </w:r>
      <w:r>
        <w:rPr>
          <w:rFonts w:ascii="Times New Roman" w:hAnsi="Times New Roman" w:eastAsia="仿宋" w:cs="Times New Roman"/>
          <w:bCs/>
          <w:sz w:val="32"/>
          <w:szCs w:val="36"/>
        </w:rPr>
        <w:t xml:space="preserve"> 各培养单位通过组织召开全体</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生大会、（临时）</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代表大会、培养单位主要班团干部会议或民主评议会，以不记名投票的民主方式差额选举产生相应名额数的学生代表，并在其中选拔1名常任代表候选人初步人选。各培养单位所推荐的常任代表候选人通过大会资格审查小组的资格审查后，方取得本次大会常任代表候选人资格。</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第六条</w:t>
      </w:r>
      <w:r>
        <w:rPr>
          <w:rFonts w:ascii="Times New Roman" w:hAnsi="Times New Roman" w:eastAsia="仿宋" w:cs="Times New Roman"/>
          <w:bCs/>
          <w:sz w:val="32"/>
          <w:szCs w:val="36"/>
        </w:rPr>
        <w:t xml:space="preserve">  各培养单位差额选出代表及常任代表候选人后，应在培养单位内进行公示，公示无异议后上报大会筹备委员会及会议资格审查小组。</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第七条</w:t>
      </w:r>
      <w:r>
        <w:rPr>
          <w:rFonts w:ascii="Times New Roman" w:hAnsi="Times New Roman" w:eastAsia="仿宋" w:cs="Times New Roman"/>
          <w:bCs/>
          <w:sz w:val="32"/>
          <w:szCs w:val="36"/>
        </w:rPr>
        <w:t xml:space="preserve">  </w:t>
      </w:r>
      <w:r>
        <w:rPr>
          <w:rFonts w:ascii="Times New Roman" w:hAnsi="Times New Roman" w:eastAsia="仿宋" w:cs="Times New Roman"/>
          <w:bCs/>
          <w:sz w:val="32"/>
          <w:szCs w:val="36"/>
          <w:lang w:val="zh-CN"/>
        </w:rPr>
        <w:t>中山大学第</w:t>
      </w:r>
      <w:r>
        <w:rPr>
          <w:rFonts w:hint="eastAsia" w:ascii="Times New Roman" w:hAnsi="Times New Roman" w:eastAsia="仿宋" w:cs="Times New Roman"/>
          <w:bCs/>
          <w:sz w:val="32"/>
          <w:szCs w:val="36"/>
          <w:lang w:val="zh-CN"/>
        </w:rPr>
        <w:t>四十六</w:t>
      </w:r>
      <w:r>
        <w:rPr>
          <w:rFonts w:ascii="Times New Roman" w:hAnsi="Times New Roman" w:eastAsia="仿宋" w:cs="Times New Roman"/>
          <w:bCs/>
          <w:sz w:val="32"/>
          <w:szCs w:val="36"/>
          <w:lang w:val="zh-CN"/>
        </w:rPr>
        <w:t>次</w:t>
      </w:r>
      <w:r>
        <w:rPr>
          <w:rFonts w:hint="eastAsia" w:ascii="Times New Roman" w:hAnsi="Times New Roman" w:eastAsia="仿宋" w:cs="Times New Roman"/>
          <w:bCs/>
          <w:sz w:val="32"/>
          <w:szCs w:val="36"/>
          <w:lang w:val="zh-CN"/>
        </w:rPr>
        <w:t>学</w:t>
      </w:r>
      <w:r>
        <w:rPr>
          <w:rFonts w:ascii="Times New Roman" w:hAnsi="Times New Roman" w:eastAsia="仿宋" w:cs="Times New Roman"/>
          <w:bCs/>
          <w:sz w:val="32"/>
          <w:szCs w:val="36"/>
          <w:lang w:val="zh-CN"/>
        </w:rPr>
        <w:t>生代表大会设置学生代表344名，其中常任代表59名。</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rPr>
        <w:t>第八条</w:t>
      </w:r>
      <w:r>
        <w:rPr>
          <w:rFonts w:ascii="Times New Roman" w:hAnsi="Times New Roman" w:eastAsia="仿宋" w:cs="Times New Roman"/>
          <w:bCs/>
          <w:sz w:val="32"/>
          <w:szCs w:val="36"/>
        </w:rPr>
        <w:t xml:space="preserve">  常任代表候选人名单应在本次</w:t>
      </w:r>
      <w:r>
        <w:rPr>
          <w:rFonts w:hint="eastAsia" w:ascii="Times New Roman" w:hAnsi="Times New Roman" w:eastAsia="仿宋" w:cs="Times New Roman"/>
          <w:bCs/>
          <w:sz w:val="32"/>
          <w:szCs w:val="36"/>
        </w:rPr>
        <w:t>学生</w:t>
      </w:r>
      <w:r>
        <w:rPr>
          <w:rFonts w:ascii="Times New Roman" w:hAnsi="Times New Roman" w:eastAsia="仿宋" w:cs="Times New Roman"/>
          <w:bCs/>
          <w:sz w:val="32"/>
          <w:szCs w:val="36"/>
        </w:rPr>
        <w:t>代表大会上宣读，并向全体代表公布常任代表候选人简介。上述名单经大会各代表团分组审议后提交大会表决，若取得</w:t>
      </w:r>
      <w:r>
        <w:rPr>
          <w:rFonts w:hint="eastAsia" w:ascii="Times New Roman" w:hAnsi="Times New Roman" w:eastAsia="仿宋" w:cs="Times New Roman"/>
          <w:bCs/>
          <w:sz w:val="32"/>
          <w:szCs w:val="36"/>
        </w:rPr>
        <w:t>实际</w:t>
      </w:r>
      <w:r>
        <w:rPr>
          <w:rFonts w:ascii="Times New Roman" w:hAnsi="Times New Roman" w:eastAsia="仿宋" w:cs="Times New Roman"/>
          <w:bCs/>
          <w:sz w:val="32"/>
          <w:szCs w:val="36"/>
        </w:rPr>
        <w:t>到会代表的过半数同意，则大会通过上述名单，常任代表候选人正式取得中山大学第</w:t>
      </w:r>
      <w:r>
        <w:rPr>
          <w:rFonts w:hint="eastAsia" w:ascii="Times New Roman" w:hAnsi="Times New Roman" w:eastAsia="仿宋" w:cs="Times New Roman"/>
          <w:bCs/>
          <w:sz w:val="32"/>
          <w:szCs w:val="36"/>
        </w:rPr>
        <w:t>四十六</w:t>
      </w:r>
      <w:r>
        <w:rPr>
          <w:rFonts w:ascii="Times New Roman" w:hAnsi="Times New Roman" w:eastAsia="仿宋" w:cs="Times New Roman"/>
          <w:bCs/>
          <w:sz w:val="32"/>
          <w:szCs w:val="36"/>
        </w:rPr>
        <w:t>次</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生代表大会常任代表资格。若过半数未同意，则常任代表候选人不能正式取得中山大学第</w:t>
      </w:r>
      <w:r>
        <w:rPr>
          <w:rFonts w:hint="eastAsia" w:ascii="Times New Roman" w:hAnsi="Times New Roman" w:eastAsia="仿宋" w:cs="Times New Roman"/>
          <w:bCs/>
          <w:sz w:val="32"/>
          <w:szCs w:val="36"/>
        </w:rPr>
        <w:t>四十六</w:t>
      </w:r>
      <w:r>
        <w:rPr>
          <w:rFonts w:ascii="Times New Roman" w:hAnsi="Times New Roman" w:eastAsia="仿宋" w:cs="Times New Roman"/>
          <w:bCs/>
          <w:sz w:val="32"/>
          <w:szCs w:val="36"/>
        </w:rPr>
        <w:t>次</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生代表大会常任代表资格，在该培养单位参会学生代表中另选择替补人选。</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lang w:val="zh-CN"/>
        </w:rPr>
        <w:t>第九条</w:t>
      </w:r>
      <w:r>
        <w:rPr>
          <w:rFonts w:ascii="Times New Roman" w:hAnsi="Times New Roman" w:eastAsia="仿宋" w:cs="Times New Roman"/>
          <w:bCs/>
          <w:sz w:val="32"/>
          <w:szCs w:val="36"/>
          <w:lang w:val="zh-CN"/>
        </w:rPr>
        <w:t xml:space="preserve">  本办法经</w:t>
      </w:r>
      <w:r>
        <w:rPr>
          <w:rFonts w:hint="eastAsia" w:ascii="Times New Roman" w:hAnsi="Times New Roman" w:eastAsia="仿宋" w:cs="Times New Roman"/>
          <w:bCs/>
          <w:sz w:val="32"/>
          <w:szCs w:val="36"/>
          <w:lang w:val="zh-CN"/>
        </w:rPr>
        <w:t>学</w:t>
      </w:r>
      <w:r>
        <w:rPr>
          <w:rFonts w:ascii="Times New Roman" w:hAnsi="Times New Roman" w:eastAsia="仿宋" w:cs="Times New Roman"/>
          <w:bCs/>
          <w:sz w:val="32"/>
          <w:szCs w:val="36"/>
          <w:lang w:val="zh-CN"/>
        </w:rPr>
        <w:t>生代表大会通过后生效。</w:t>
      </w:r>
    </w:p>
    <w:p>
      <w:pPr>
        <w:adjustRightInd w:val="0"/>
        <w:snapToGrid w:val="0"/>
        <w:spacing w:line="560" w:lineRule="exact"/>
        <w:ind w:firstLine="640" w:firstLineChars="200"/>
        <w:rPr>
          <w:rFonts w:ascii="Times New Roman" w:hAnsi="Times New Roman" w:eastAsia="仿宋" w:cs="Times New Roman"/>
          <w:bCs/>
          <w:sz w:val="32"/>
          <w:szCs w:val="36"/>
        </w:rPr>
      </w:pPr>
      <w:r>
        <w:rPr>
          <w:rFonts w:hint="eastAsia" w:ascii="黑体" w:hAnsi="黑体" w:eastAsia="黑体" w:cs="黑体"/>
          <w:bCs/>
          <w:sz w:val="32"/>
          <w:szCs w:val="36"/>
          <w:lang w:val="zh-CN"/>
        </w:rPr>
        <w:t xml:space="preserve">第十条 </w:t>
      </w:r>
      <w:r>
        <w:rPr>
          <w:rFonts w:ascii="Times New Roman" w:hAnsi="Times New Roman" w:eastAsia="仿宋" w:cs="Times New Roman"/>
          <w:bCs/>
          <w:sz w:val="32"/>
          <w:szCs w:val="36"/>
          <w:lang w:val="zh-CN"/>
        </w:rPr>
        <w:t xml:space="preserve"> </w:t>
      </w:r>
      <w:r>
        <w:rPr>
          <w:rFonts w:ascii="Times New Roman" w:hAnsi="Times New Roman" w:eastAsia="仿宋" w:cs="Times New Roman"/>
          <w:bCs/>
          <w:sz w:val="32"/>
          <w:szCs w:val="36"/>
        </w:rPr>
        <w:t>中山大学第</w:t>
      </w:r>
      <w:r>
        <w:rPr>
          <w:rFonts w:hint="eastAsia" w:ascii="Times New Roman" w:hAnsi="Times New Roman" w:eastAsia="仿宋" w:cs="Times New Roman"/>
          <w:bCs/>
          <w:sz w:val="32"/>
          <w:szCs w:val="36"/>
        </w:rPr>
        <w:t>四十六</w:t>
      </w:r>
      <w:r>
        <w:rPr>
          <w:rFonts w:ascii="Times New Roman" w:hAnsi="Times New Roman" w:eastAsia="仿宋" w:cs="Times New Roman"/>
          <w:bCs/>
          <w:sz w:val="32"/>
          <w:szCs w:val="36"/>
        </w:rPr>
        <w:t>次学生代表大会会议工作领导小组同时为会议资格审查小组。</w:t>
      </w:r>
    </w:p>
    <w:p>
      <w:pPr>
        <w:adjustRightInd w:val="0"/>
        <w:snapToGrid w:val="0"/>
        <w:spacing w:line="560" w:lineRule="exact"/>
        <w:ind w:firstLine="640" w:firstLineChars="200"/>
        <w:rPr>
          <w:rFonts w:ascii="Times New Roman" w:hAnsi="Times New Roman" w:eastAsia="仿宋" w:cs="Times New Roman"/>
          <w:bCs/>
          <w:sz w:val="32"/>
          <w:szCs w:val="36"/>
        </w:rPr>
        <w:sectPr>
          <w:pgSz w:w="11906" w:h="16838"/>
          <w:pgMar w:top="1440" w:right="1800" w:bottom="1440" w:left="1800" w:header="851" w:footer="992" w:gutter="0"/>
          <w:cols w:space="425" w:num="1"/>
          <w:docGrid w:type="lines" w:linePitch="312" w:charSpace="0"/>
        </w:sectPr>
      </w:pPr>
      <w:r>
        <w:rPr>
          <w:rFonts w:hint="eastAsia" w:ascii="黑体" w:hAnsi="黑体" w:eastAsia="黑体" w:cs="黑体"/>
          <w:bCs/>
          <w:sz w:val="32"/>
          <w:szCs w:val="36"/>
        </w:rPr>
        <w:t>第十一条</w:t>
      </w:r>
      <w:r>
        <w:rPr>
          <w:rFonts w:ascii="Times New Roman" w:hAnsi="Times New Roman" w:eastAsia="仿宋" w:cs="Times New Roman"/>
          <w:bCs/>
          <w:sz w:val="32"/>
          <w:szCs w:val="36"/>
        </w:rPr>
        <w:t xml:space="preserve">  本办法最终解释权归中山大学第</w:t>
      </w:r>
      <w:r>
        <w:rPr>
          <w:rFonts w:hint="eastAsia" w:ascii="Times New Roman" w:hAnsi="Times New Roman" w:eastAsia="仿宋" w:cs="Times New Roman"/>
          <w:bCs/>
          <w:sz w:val="32"/>
          <w:szCs w:val="36"/>
        </w:rPr>
        <w:t>四十六</w:t>
      </w:r>
      <w:r>
        <w:rPr>
          <w:rFonts w:ascii="Times New Roman" w:hAnsi="Times New Roman" w:eastAsia="仿宋" w:cs="Times New Roman"/>
          <w:bCs/>
          <w:sz w:val="32"/>
          <w:szCs w:val="36"/>
        </w:rPr>
        <w:t>次</w:t>
      </w:r>
      <w:r>
        <w:rPr>
          <w:rFonts w:hint="eastAsia" w:ascii="Times New Roman" w:hAnsi="Times New Roman" w:eastAsia="仿宋" w:cs="Times New Roman"/>
          <w:bCs/>
          <w:sz w:val="32"/>
          <w:szCs w:val="36"/>
        </w:rPr>
        <w:t>学</w:t>
      </w:r>
      <w:r>
        <w:rPr>
          <w:rFonts w:ascii="Times New Roman" w:hAnsi="Times New Roman" w:eastAsia="仿宋" w:cs="Times New Roman"/>
          <w:bCs/>
          <w:sz w:val="32"/>
          <w:szCs w:val="36"/>
        </w:rPr>
        <w:t>生代表大会会议工作领导小组。</w:t>
      </w:r>
    </w:p>
    <w:tbl>
      <w:tblPr>
        <w:tblStyle w:val="3"/>
        <w:tblpPr w:leftFromText="180" w:rightFromText="180" w:vertAnchor="text" w:horzAnchor="page" w:tblpXSpec="center" w:tblpY="250"/>
        <w:tblOverlap w:val="never"/>
        <w:tblW w:w="79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6"/>
        <w:gridCol w:w="1410"/>
        <w:gridCol w:w="1695"/>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bCs w:val="0"/>
                <w:i w:val="0"/>
                <w:color w:val="000000"/>
                <w:kern w:val="2"/>
                <w:sz w:val="28"/>
                <w:szCs w:val="28"/>
                <w:u w:val="none"/>
                <w:lang w:val="en-US" w:eastAsia="zh-CN" w:bidi="ar-SA"/>
              </w:rPr>
            </w:pPr>
            <w:r>
              <w:rPr>
                <w:rStyle w:val="5"/>
                <w:rFonts w:hint="eastAsia" w:ascii="楷体" w:hAnsi="楷体" w:eastAsia="楷体" w:cs="楷体"/>
                <w:b/>
                <w:bCs w:val="0"/>
                <w:sz w:val="28"/>
                <w:szCs w:val="28"/>
                <w:lang w:val="en-US" w:eastAsia="zh-CN" w:bidi="ar"/>
              </w:rPr>
              <w:t>学院</w:t>
            </w:r>
          </w:p>
        </w:tc>
        <w:tc>
          <w:tcPr>
            <w:tcW w:w="1410" w:type="dxa"/>
            <w:vAlign w:val="top"/>
          </w:tcPr>
          <w:p>
            <w:pPr>
              <w:jc w:val="center"/>
              <w:rPr>
                <w:rFonts w:hint="eastAsia" w:ascii="楷体" w:hAnsi="楷体" w:eastAsia="楷体" w:cs="楷体"/>
                <w:b/>
                <w:bCs w:val="0"/>
                <w:sz w:val="28"/>
                <w:szCs w:val="28"/>
                <w:vertAlign w:val="baseline"/>
                <w:lang w:eastAsia="zh-CN"/>
              </w:rPr>
            </w:pPr>
            <w:r>
              <w:rPr>
                <w:rFonts w:hint="eastAsia" w:ascii="楷体" w:hAnsi="楷体" w:eastAsia="楷体" w:cs="楷体"/>
                <w:b/>
                <w:bCs w:val="0"/>
                <w:sz w:val="28"/>
                <w:szCs w:val="28"/>
                <w:vertAlign w:val="baseline"/>
                <w:lang w:eastAsia="zh-CN"/>
              </w:rPr>
              <w:t>本科生数</w:t>
            </w:r>
          </w:p>
        </w:tc>
        <w:tc>
          <w:tcPr>
            <w:tcW w:w="1695" w:type="dxa"/>
          </w:tcPr>
          <w:p>
            <w:pPr>
              <w:jc w:val="center"/>
              <w:rPr>
                <w:rFonts w:hint="eastAsia" w:ascii="楷体" w:hAnsi="楷体" w:eastAsia="楷体" w:cs="楷体"/>
                <w:b/>
                <w:bCs w:val="0"/>
                <w:sz w:val="28"/>
                <w:szCs w:val="28"/>
                <w:vertAlign w:val="baseline"/>
                <w:lang w:eastAsia="zh-CN"/>
              </w:rPr>
            </w:pPr>
            <w:r>
              <w:rPr>
                <w:rFonts w:hint="eastAsia" w:ascii="楷体" w:hAnsi="楷体" w:eastAsia="楷体" w:cs="楷体"/>
                <w:b/>
                <w:bCs w:val="0"/>
                <w:sz w:val="28"/>
                <w:szCs w:val="28"/>
                <w:vertAlign w:val="baseline"/>
                <w:lang w:eastAsia="zh-CN"/>
              </w:rPr>
              <w:t>常任代表数</w:t>
            </w:r>
          </w:p>
        </w:tc>
        <w:tc>
          <w:tcPr>
            <w:tcW w:w="1415" w:type="dxa"/>
            <w:vAlign w:val="top"/>
          </w:tcPr>
          <w:p>
            <w:pPr>
              <w:jc w:val="center"/>
              <w:rPr>
                <w:rFonts w:hint="eastAsia" w:ascii="楷体" w:hAnsi="楷体" w:eastAsia="楷体" w:cs="楷体"/>
                <w:b/>
                <w:bCs w:val="0"/>
                <w:sz w:val="28"/>
                <w:szCs w:val="28"/>
                <w:vertAlign w:val="baseline"/>
                <w:lang w:eastAsia="zh-CN"/>
              </w:rPr>
            </w:pP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t>学生代表数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中国语言文学系</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470</w:t>
            </w:r>
          </w:p>
        </w:tc>
        <w:tc>
          <w:tcPr>
            <w:tcW w:w="1695" w:type="dxa"/>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中国语言文学系（珠海）</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305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中山医学院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2735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中法核工程与技术学院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336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人工智能学院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74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传播与设计学院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334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光华口腔医学院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558</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公共卫生学院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470</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公共卫生学院（深圳）</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312</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农学院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106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化学学院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566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化学工程与技术学院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418</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医学院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1635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博雅学院（人文高等研究院、通识教育部）</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94</w:t>
            </w:r>
          </w:p>
        </w:tc>
        <w:tc>
          <w:tcPr>
            <w:tcW w:w="1695" w:type="dxa"/>
          </w:tcPr>
          <w:p>
            <w:pPr>
              <w:jc w:val="center"/>
              <w:rPr>
                <w:rFonts w:hint="eastAsia" w:ascii="楷体" w:hAnsi="楷体" w:eastAsia="楷体" w:cs="楷体"/>
                <w:b w:val="0"/>
                <w:bCs/>
                <w:sz w:val="28"/>
                <w:szCs w:val="28"/>
                <w:vertAlign w:val="baseline"/>
                <w:lang w:val="en-US" w:eastAsia="zh-CN"/>
              </w:rPr>
            </w:pPr>
          </w:p>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pPr>
          </w:p>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历史学系</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225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历史学系（珠海）</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226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哲学系</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322</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哲学系（珠海）</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232</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国际关系学院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226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国际翻译学院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701</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国际金融学院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1297</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土木工程学院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483</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地球科学与工程学院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219</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地理科学与规划学院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616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外国语学院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545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大气科学学院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434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岭南学院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1221</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微电子科学与技术学院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165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心理学系</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262</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护理学院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194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政治与公共事务管理学院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594</w:t>
            </w:r>
          </w:p>
        </w:tc>
        <w:tc>
          <w:tcPr>
            <w:tcW w:w="1695" w:type="dxa"/>
          </w:tcPr>
          <w:p>
            <w:pPr>
              <w:jc w:val="center"/>
              <w:rPr>
                <w:rFonts w:hint="eastAsia" w:ascii="楷体" w:hAnsi="楷体" w:eastAsia="楷体" w:cs="楷体"/>
                <w:b w:val="0"/>
                <w:bCs/>
                <w:sz w:val="28"/>
                <w:szCs w:val="28"/>
                <w:vertAlign w:val="baseline"/>
                <w:lang w:val="en-US" w:eastAsia="zh-CN"/>
              </w:rPr>
            </w:pPr>
          </w:p>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pPr>
          </w:p>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数学学院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819</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数学学院（珠海）</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554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0"/>
                <w:sz w:val="28"/>
                <w:szCs w:val="28"/>
                <w:u w:val="none"/>
                <w:lang w:val="en-US" w:eastAsia="zh-CN" w:bidi="ar"/>
              </w:rPr>
            </w:pPr>
            <w:r>
              <w:rPr>
                <w:rFonts w:hint="eastAsia" w:ascii="楷体" w:hAnsi="楷体" w:eastAsia="楷体" w:cs="楷体"/>
                <w:b w:val="0"/>
                <w:bCs/>
                <w:i w:val="0"/>
                <w:color w:val="000000"/>
                <w:kern w:val="0"/>
                <w:sz w:val="28"/>
                <w:szCs w:val="28"/>
                <w:u w:val="none"/>
                <w:lang w:val="en-US" w:eastAsia="zh-CN" w:bidi="ar"/>
              </w:rPr>
              <w:t>计算机学院（软件学院）</w:t>
            </w:r>
          </w:p>
        </w:tc>
        <w:tc>
          <w:tcPr>
            <w:tcW w:w="1410" w:type="dxa"/>
            <w:vAlign w:val="bottom"/>
          </w:tcPr>
          <w:p>
            <w:pPr>
              <w:keepNext w:val="0"/>
              <w:keepLines w:val="0"/>
              <w:widowControl/>
              <w:suppressLineNumbers w:val="0"/>
              <w:jc w:val="center"/>
              <w:textAlignment w:val="bottom"/>
              <w:rPr>
                <w:rFonts w:hint="default" w:ascii="楷体" w:hAnsi="楷体" w:eastAsia="楷体" w:cs="楷体"/>
                <w:i w:val="0"/>
                <w:color w:val="000000"/>
                <w:kern w:val="0"/>
                <w:sz w:val="28"/>
                <w:szCs w:val="28"/>
                <w:u w:val="none"/>
                <w:lang w:val="en-US" w:eastAsia="zh-CN" w:bidi="ar"/>
              </w:rPr>
            </w:pPr>
            <w:r>
              <w:rPr>
                <w:rFonts w:hint="eastAsia" w:ascii="楷体" w:hAnsi="楷体" w:eastAsia="楷体" w:cs="楷体"/>
                <w:i w:val="0"/>
                <w:color w:val="000000"/>
                <w:kern w:val="0"/>
                <w:sz w:val="28"/>
                <w:szCs w:val="28"/>
                <w:u w:val="none"/>
                <w:lang w:val="en-US" w:eastAsia="zh-CN" w:bidi="ar"/>
              </w:rPr>
              <w:t>1745</w:t>
            </w:r>
          </w:p>
        </w:tc>
        <w:tc>
          <w:tcPr>
            <w:tcW w:w="1695" w:type="dxa"/>
          </w:tcPr>
          <w:p>
            <w:pPr>
              <w:jc w:val="center"/>
              <w:rPr>
                <w:rFonts w:hint="default" w:ascii="楷体" w:hAnsi="楷体" w:eastAsia="楷体" w:cs="楷体"/>
                <w:b w:val="0"/>
                <w:bCs/>
                <w:sz w:val="28"/>
                <w:szCs w:val="28"/>
                <w:vertAlign w:val="baseline"/>
                <w:lang w:val="en-US" w:eastAsia="zh-CN"/>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default" w:ascii="楷体" w:hAnsi="楷体" w:eastAsia="楷体" w:cs="楷体"/>
                <w:b w:val="0"/>
                <w:bCs/>
                <w:color w:val="000000" w:themeColor="text1"/>
                <w:sz w:val="28"/>
                <w:szCs w:val="28"/>
                <w:vertAlign w:val="baseline"/>
                <w:lang w:val="en-US" w:eastAsia="zh-CN"/>
                <w14:textFill>
                  <w14:solidFill>
                    <w14:schemeClr w14:val="tx1"/>
                  </w14:solidFill>
                </w14:textFill>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旅游学院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748</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智能工程学院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911</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材料学院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525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材料科学与工程学院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413</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法学院（知识产权学院、中英国际海事法学院）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664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测绘科学与技术学院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120</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海洋工程与技术学院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356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海洋科学学院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518</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物理与天文学院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536</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物理学院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694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环境科学与工程学院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385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生命科学学院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827</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生态学院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90</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生物医学工程学院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534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电子与信息工程学院（微电子学院）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990</w:t>
            </w:r>
          </w:p>
        </w:tc>
        <w:tc>
          <w:tcPr>
            <w:tcW w:w="1695" w:type="dxa"/>
          </w:tcPr>
          <w:p>
            <w:pPr>
              <w:jc w:val="center"/>
              <w:rPr>
                <w:rFonts w:hint="eastAsia" w:ascii="楷体" w:hAnsi="楷体" w:eastAsia="楷体" w:cs="楷体"/>
                <w:b w:val="0"/>
                <w:bCs/>
                <w:sz w:val="28"/>
                <w:szCs w:val="28"/>
                <w:vertAlign w:val="baseline"/>
                <w:lang w:val="en-US" w:eastAsia="zh-CN"/>
              </w:rPr>
            </w:pPr>
          </w:p>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pPr>
          </w:p>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电子与通信工程学院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1004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社会学与人类学学院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395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管理学院（创业学院）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1163</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系统科学与工程学院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44</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航空航天学院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612</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艺术学院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48</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药学院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381</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药学院（深圳）</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335</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信息管理学院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429</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top"/>
              <w:rPr>
                <w:rFonts w:hint="eastAsia" w:ascii="楷体" w:hAnsi="楷体" w:eastAsia="楷体" w:cs="楷体"/>
                <w:b w:val="0"/>
                <w:bCs/>
                <w:i w:val="0"/>
                <w:color w:val="000000"/>
                <w:kern w:val="2"/>
                <w:sz w:val="28"/>
                <w:szCs w:val="28"/>
                <w:u w:val="none"/>
                <w:lang w:val="en-US" w:eastAsia="zh-CN" w:bidi="ar-SA"/>
              </w:rPr>
            </w:pPr>
            <w:r>
              <w:rPr>
                <w:rFonts w:hint="eastAsia" w:ascii="楷体" w:hAnsi="楷体" w:eastAsia="楷体" w:cs="楷体"/>
                <w:b w:val="0"/>
                <w:bCs/>
                <w:i w:val="0"/>
                <w:color w:val="000000"/>
                <w:kern w:val="0"/>
                <w:sz w:val="28"/>
                <w:szCs w:val="28"/>
                <w:u w:val="none"/>
                <w:lang w:val="en-US" w:eastAsia="zh-CN" w:bidi="ar"/>
              </w:rPr>
              <w:t>软件工程学院</w:t>
            </w:r>
          </w:p>
        </w:tc>
        <w:tc>
          <w:tcPr>
            <w:tcW w:w="1410" w:type="dxa"/>
            <w:vAlign w:val="bottom"/>
          </w:tcPr>
          <w:p>
            <w:pPr>
              <w:keepNext w:val="0"/>
              <w:keepLines w:val="0"/>
              <w:widowControl/>
              <w:suppressLineNumbers w:val="0"/>
              <w:jc w:val="center"/>
              <w:textAlignment w:val="bottom"/>
              <w:rPr>
                <w:rFonts w:hint="eastAsia" w:ascii="楷体" w:hAnsi="楷体" w:eastAsia="楷体" w:cs="楷体"/>
                <w:b w:val="0"/>
                <w:bCs/>
                <w:sz w:val="28"/>
                <w:szCs w:val="28"/>
                <w:vertAlign w:val="baseline"/>
                <w:lang w:val="en-US" w:eastAsia="zh-CN"/>
              </w:rPr>
            </w:pPr>
            <w:r>
              <w:rPr>
                <w:rFonts w:hint="eastAsia" w:ascii="楷体" w:hAnsi="楷体" w:eastAsia="楷体" w:cs="楷体"/>
                <w:i w:val="0"/>
                <w:color w:val="000000"/>
                <w:kern w:val="0"/>
                <w:sz w:val="28"/>
                <w:szCs w:val="28"/>
                <w:u w:val="none"/>
                <w:lang w:val="en-US" w:eastAsia="zh-CN" w:bidi="ar"/>
              </w:rPr>
              <w:t>69</w:t>
            </w:r>
          </w:p>
        </w:tc>
        <w:tc>
          <w:tcPr>
            <w:tcW w:w="1695" w:type="dxa"/>
          </w:tcPr>
          <w:p>
            <w:pPr>
              <w:jc w:val="center"/>
              <w:rPr>
                <w:rFonts w:hint="eastAsia" w:ascii="楷体" w:hAnsi="楷体" w:eastAsia="楷体" w:cs="楷体"/>
                <w:b w:val="0"/>
                <w:bCs/>
                <w:sz w:val="28"/>
                <w:szCs w:val="28"/>
                <w:vertAlign w:val="baseline"/>
              </w:rPr>
            </w:pPr>
            <w:r>
              <w:rPr>
                <w:rFonts w:hint="eastAsia" w:ascii="楷体" w:hAnsi="楷体" w:eastAsia="楷体" w:cs="楷体"/>
                <w:b w:val="0"/>
                <w:bCs/>
                <w:sz w:val="28"/>
                <w:szCs w:val="28"/>
                <w:vertAlign w:val="baseline"/>
                <w:lang w:val="en-US" w:eastAsia="zh-CN"/>
              </w:rPr>
              <w:t>1</w:t>
            </w:r>
          </w:p>
        </w:tc>
        <w:tc>
          <w:tcPr>
            <w:tcW w:w="1415" w:type="dxa"/>
            <w:vAlign w:val="top"/>
          </w:tcPr>
          <w:p>
            <w:pPr>
              <w:jc w:val="center"/>
              <w:rPr>
                <w:rFonts w:hint="eastAsia" w:ascii="楷体" w:hAnsi="楷体" w:eastAsia="楷体" w:cs="楷体"/>
                <w:b w:val="0"/>
                <w:bCs/>
                <w:sz w:val="28"/>
                <w:szCs w:val="28"/>
                <w:vertAlign w:val="baseline"/>
                <w:lang w:val="en-US" w:eastAsia="zh-CN"/>
              </w:rPr>
            </w:pPr>
            <w:r>
              <w:rPr>
                <w:rFonts w:hint="eastAsia" w:ascii="楷体" w:hAnsi="楷体" w:eastAsia="楷体" w:cs="楷体"/>
                <w:b w:val="0"/>
                <w:bCs/>
                <w:color w:val="000000" w:themeColor="text1"/>
                <w:sz w:val="28"/>
                <w:szCs w:val="28"/>
                <w:vertAlign w:val="baseline"/>
                <w:lang w:val="en-US"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6" w:type="dxa"/>
            <w:vAlign w:val="top"/>
          </w:tcPr>
          <w:p>
            <w:pPr>
              <w:keepNext w:val="0"/>
              <w:keepLines w:val="0"/>
              <w:widowControl/>
              <w:suppressLineNumbers w:val="0"/>
              <w:jc w:val="center"/>
              <w:textAlignment w:val="bottom"/>
              <w:rPr>
                <w:rFonts w:hint="eastAsia" w:ascii="楷体" w:hAnsi="楷体" w:eastAsia="楷体" w:cs="楷体"/>
                <w:b/>
                <w:bCs w:val="0"/>
                <w:sz w:val="28"/>
                <w:szCs w:val="28"/>
                <w:vertAlign w:val="baseline"/>
              </w:rPr>
            </w:pPr>
            <w:r>
              <w:rPr>
                <w:rFonts w:hint="eastAsia" w:ascii="仿宋" w:hAnsi="仿宋" w:eastAsia="仿宋" w:cs="仿宋"/>
                <w:b/>
                <w:bCs w:val="0"/>
                <w:i w:val="0"/>
                <w:color w:val="000000"/>
                <w:kern w:val="2"/>
                <w:sz w:val="28"/>
                <w:szCs w:val="28"/>
                <w:u w:val="none"/>
                <w:lang w:val="en-US" w:eastAsia="zh-CN" w:bidi="ar-SA"/>
              </w:rPr>
              <w:t>总计</w:t>
            </w:r>
          </w:p>
        </w:tc>
        <w:tc>
          <w:tcPr>
            <w:tcW w:w="1410" w:type="dxa"/>
            <w:vAlign w:val="top"/>
          </w:tcPr>
          <w:p>
            <w:pPr>
              <w:keepNext w:val="0"/>
              <w:keepLines w:val="0"/>
              <w:widowControl/>
              <w:suppressLineNumbers w:val="0"/>
              <w:jc w:val="center"/>
              <w:textAlignment w:val="bottom"/>
              <w:rPr>
                <w:rFonts w:hint="default" w:ascii="仿宋" w:hAnsi="仿宋" w:eastAsia="仿宋" w:cs="仿宋"/>
                <w:b/>
                <w:bCs w:val="0"/>
                <w:i w:val="0"/>
                <w:color w:val="000000"/>
                <w:kern w:val="2"/>
                <w:sz w:val="28"/>
                <w:szCs w:val="28"/>
                <w:u w:val="none"/>
                <w:lang w:val="en-US" w:eastAsia="zh-CN" w:bidi="ar-SA"/>
              </w:rPr>
            </w:pPr>
            <w:r>
              <w:rPr>
                <w:rFonts w:hint="eastAsia" w:ascii="仿宋" w:hAnsi="仿宋" w:eastAsia="仿宋" w:cs="仿宋"/>
                <w:b/>
                <w:bCs w:val="0"/>
                <w:i w:val="0"/>
                <w:color w:val="000000"/>
                <w:kern w:val="2"/>
                <w:sz w:val="28"/>
                <w:szCs w:val="28"/>
                <w:u w:val="none"/>
                <w:lang w:val="en-US" w:eastAsia="zh-CN" w:bidi="ar-SA"/>
              </w:rPr>
              <w:t>32284</w:t>
            </w:r>
          </w:p>
        </w:tc>
        <w:tc>
          <w:tcPr>
            <w:tcW w:w="1695" w:type="dxa"/>
          </w:tcPr>
          <w:p>
            <w:pPr>
              <w:jc w:val="center"/>
              <w:rPr>
                <w:rFonts w:hint="eastAsia" w:ascii="楷体" w:hAnsi="楷体" w:eastAsia="楷体" w:cs="楷体"/>
                <w:b/>
                <w:bCs w:val="0"/>
                <w:sz w:val="28"/>
                <w:szCs w:val="28"/>
                <w:vertAlign w:val="baseline"/>
              </w:rPr>
            </w:pPr>
            <w:r>
              <w:rPr>
                <w:rFonts w:hint="eastAsia" w:ascii="楷体" w:hAnsi="楷体" w:eastAsia="楷体" w:cs="楷体"/>
                <w:b/>
                <w:bCs w:val="0"/>
                <w:sz w:val="28"/>
                <w:szCs w:val="28"/>
                <w:vertAlign w:val="baseline"/>
              </w:rPr>
              <w:fldChar w:fldCharType="begin"/>
            </w:r>
            <w:r>
              <w:rPr>
                <w:rFonts w:hint="eastAsia" w:ascii="楷体" w:hAnsi="楷体" w:eastAsia="楷体" w:cs="楷体"/>
                <w:b/>
                <w:bCs w:val="0"/>
                <w:sz w:val="28"/>
                <w:szCs w:val="28"/>
                <w:vertAlign w:val="baseline"/>
              </w:rPr>
              <w:instrText xml:space="preserve"> = sum(D1:D60) \* MERGEFORMAT </w:instrText>
            </w:r>
            <w:r>
              <w:rPr>
                <w:rFonts w:hint="eastAsia" w:ascii="楷体" w:hAnsi="楷体" w:eastAsia="楷体" w:cs="楷体"/>
                <w:b/>
                <w:bCs w:val="0"/>
                <w:sz w:val="28"/>
                <w:szCs w:val="28"/>
                <w:vertAlign w:val="baseline"/>
              </w:rPr>
              <w:fldChar w:fldCharType="separate"/>
            </w:r>
            <w:r>
              <w:rPr>
                <w:rFonts w:hint="eastAsia" w:ascii="楷体" w:hAnsi="楷体" w:eastAsia="楷体" w:cs="楷体"/>
                <w:b/>
                <w:bCs w:val="0"/>
                <w:sz w:val="28"/>
                <w:szCs w:val="28"/>
                <w:vertAlign w:val="baseline"/>
              </w:rPr>
              <w:t>59</w:t>
            </w:r>
            <w:r>
              <w:rPr>
                <w:rFonts w:hint="eastAsia" w:ascii="楷体" w:hAnsi="楷体" w:eastAsia="楷体" w:cs="楷体"/>
                <w:b/>
                <w:bCs w:val="0"/>
                <w:sz w:val="28"/>
                <w:szCs w:val="28"/>
                <w:vertAlign w:val="baseline"/>
              </w:rPr>
              <w:fldChar w:fldCharType="end"/>
            </w:r>
          </w:p>
        </w:tc>
        <w:tc>
          <w:tcPr>
            <w:tcW w:w="1415" w:type="dxa"/>
            <w:vAlign w:val="top"/>
          </w:tcPr>
          <w:p>
            <w:pPr>
              <w:jc w:val="center"/>
              <w:rPr>
                <w:rFonts w:hint="eastAsia" w:ascii="楷体" w:hAnsi="楷体" w:eastAsia="楷体" w:cs="楷体"/>
                <w:b/>
                <w:bCs w:val="0"/>
                <w:sz w:val="28"/>
                <w:szCs w:val="28"/>
                <w:vertAlign w:val="baseline"/>
              </w:rPr>
            </w:pP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fldChar w:fldCharType="begin"/>
            </w: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instrText xml:space="preserve"> = sum(C1:C60) \* MERGEFORMAT </w:instrText>
            </w: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fldChar w:fldCharType="separate"/>
            </w: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t>344</w:t>
            </w:r>
            <w:r>
              <w:rPr>
                <w:rFonts w:hint="eastAsia" w:ascii="楷体" w:hAnsi="楷体" w:eastAsia="楷体" w:cs="楷体"/>
                <w:b/>
                <w:bCs w:val="0"/>
                <w:color w:val="000000" w:themeColor="text1"/>
                <w:sz w:val="28"/>
                <w:szCs w:val="28"/>
                <w:vertAlign w:val="baseline"/>
                <w:lang w:eastAsia="zh-CN"/>
                <w14:textFill>
                  <w14:solidFill>
                    <w14:schemeClr w14:val="tx1"/>
                  </w14:solidFill>
                </w14:textFill>
              </w:rPr>
              <w:fldChar w:fldCharType="end"/>
            </w:r>
          </w:p>
        </w:tc>
      </w:tr>
    </w:tbl>
    <w:p>
      <w:pPr>
        <w:keepNext w:val="0"/>
        <w:keepLines w:val="0"/>
        <w:widowControl/>
        <w:suppressLineNumbers w:val="0"/>
        <w:jc w:val="left"/>
      </w:pPr>
      <w:r>
        <w:rPr>
          <w:rFonts w:ascii="方正仿宋_GBK" w:hAnsi="方正仿宋_GBK" w:eastAsia="方正仿宋_GBK" w:cs="方正仿宋_GBK"/>
          <w:color w:val="000000"/>
          <w:kern w:val="0"/>
          <w:sz w:val="31"/>
          <w:szCs w:val="31"/>
          <w:lang w:val="en-US" w:eastAsia="zh-CN" w:bidi="ar"/>
        </w:rPr>
        <w:t>注：数据来源于学生工作管理处、教务部和各院（系），</w:t>
      </w:r>
      <w:r>
        <w:rPr>
          <w:rFonts w:hint="eastAsia" w:ascii="方正仿宋_GBK" w:hAnsi="方正仿宋_GBK" w:eastAsia="方正仿宋_GBK" w:cs="方正仿宋_GBK"/>
          <w:color w:val="000000"/>
          <w:kern w:val="0"/>
          <w:sz w:val="31"/>
          <w:szCs w:val="31"/>
          <w:lang w:val="en-US" w:eastAsia="zh-CN" w:bidi="ar"/>
        </w:rPr>
        <w:t xml:space="preserve">截止于 </w:t>
      </w:r>
      <w:r>
        <w:rPr>
          <w:rFonts w:ascii="TimesNewRomanPSMT" w:hAnsi="TimesNewRomanPSMT" w:eastAsia="TimesNewRomanPSMT" w:cs="TimesNewRomanPSMT"/>
          <w:color w:val="000000"/>
          <w:kern w:val="0"/>
          <w:sz w:val="31"/>
          <w:szCs w:val="31"/>
          <w:lang w:val="en-US" w:eastAsia="zh-CN" w:bidi="ar"/>
        </w:rPr>
        <w:t>20</w:t>
      </w:r>
      <w:r>
        <w:rPr>
          <w:rFonts w:hint="eastAsia" w:ascii="TimesNewRomanPSMT" w:hAnsi="TimesNewRomanPSMT" w:eastAsia="TimesNewRomanPSMT" w:cs="TimesNewRomanPSMT"/>
          <w:color w:val="000000"/>
          <w:kern w:val="0"/>
          <w:sz w:val="31"/>
          <w:szCs w:val="31"/>
          <w:lang w:val="en-US" w:eastAsia="zh-CN" w:bidi="ar"/>
        </w:rPr>
        <w:t>20</w:t>
      </w:r>
      <w:r>
        <w:rPr>
          <w:rFonts w:ascii="TimesNewRomanPSMT" w:hAnsi="TimesNewRomanPSMT" w:eastAsia="TimesNewRomanPSMT" w:cs="TimesNewRomanPSMT"/>
          <w:color w:val="000000"/>
          <w:kern w:val="0"/>
          <w:sz w:val="31"/>
          <w:szCs w:val="31"/>
          <w:lang w:val="en-US" w:eastAsia="zh-CN" w:bidi="ar"/>
        </w:rPr>
        <w:t xml:space="preserve"> </w:t>
      </w:r>
      <w:r>
        <w:rPr>
          <w:rFonts w:hint="eastAsia" w:ascii="方正仿宋_GBK" w:hAnsi="方正仿宋_GBK" w:eastAsia="方正仿宋_GBK" w:cs="方正仿宋_GBK"/>
          <w:color w:val="000000"/>
          <w:kern w:val="0"/>
          <w:sz w:val="31"/>
          <w:szCs w:val="31"/>
          <w:lang w:val="en-US" w:eastAsia="zh-CN" w:bidi="ar"/>
        </w:rPr>
        <w:t xml:space="preserve">年 </w:t>
      </w:r>
      <w:r>
        <w:rPr>
          <w:rFonts w:hint="default" w:ascii="TimesNewRomanPSMT" w:hAnsi="TimesNewRomanPSMT" w:eastAsia="TimesNewRomanPSMT" w:cs="TimesNewRomanPSMT"/>
          <w:color w:val="000000"/>
          <w:kern w:val="0"/>
          <w:sz w:val="31"/>
          <w:szCs w:val="31"/>
          <w:lang w:val="en-US" w:eastAsia="zh-CN" w:bidi="ar"/>
        </w:rPr>
        <w:t>1</w:t>
      </w:r>
      <w:r>
        <w:rPr>
          <w:rFonts w:hint="eastAsia" w:ascii="TimesNewRomanPSMT" w:hAnsi="TimesNewRomanPSMT" w:eastAsia="TimesNewRomanPSMT" w:cs="TimesNewRomanPSMT"/>
          <w:color w:val="000000"/>
          <w:kern w:val="0"/>
          <w:sz w:val="31"/>
          <w:szCs w:val="31"/>
          <w:lang w:val="en-US" w:eastAsia="zh-CN" w:bidi="ar"/>
        </w:rPr>
        <w:t>0</w:t>
      </w:r>
      <w:r>
        <w:rPr>
          <w:rFonts w:hint="default" w:ascii="TimesNewRomanPSMT" w:hAnsi="TimesNewRomanPSMT" w:eastAsia="TimesNewRomanPSMT" w:cs="TimesNewRomanPSMT"/>
          <w:color w:val="000000"/>
          <w:kern w:val="0"/>
          <w:sz w:val="31"/>
          <w:szCs w:val="31"/>
          <w:lang w:val="en-US" w:eastAsia="zh-CN" w:bidi="ar"/>
        </w:rPr>
        <w:t xml:space="preserve"> </w:t>
      </w:r>
      <w:r>
        <w:rPr>
          <w:rFonts w:hint="eastAsia" w:ascii="方正仿宋_GBK" w:hAnsi="方正仿宋_GBK" w:eastAsia="方正仿宋_GBK" w:cs="方正仿宋_GBK"/>
          <w:color w:val="000000"/>
          <w:kern w:val="0"/>
          <w:sz w:val="31"/>
          <w:szCs w:val="31"/>
          <w:lang w:val="en-US" w:eastAsia="zh-CN" w:bidi="ar"/>
        </w:rPr>
        <w:t xml:space="preserve">月 </w:t>
      </w:r>
      <w:r>
        <w:rPr>
          <w:rFonts w:hint="default" w:ascii="Times New Roman" w:hAnsi="Times New Roman" w:eastAsia="方正仿宋_GBK" w:cs="Times New Roman"/>
          <w:color w:val="000000"/>
          <w:kern w:val="0"/>
          <w:sz w:val="31"/>
          <w:szCs w:val="31"/>
          <w:lang w:val="en-US" w:eastAsia="zh-CN" w:bidi="ar"/>
        </w:rPr>
        <w:t>9</w:t>
      </w:r>
      <w:r>
        <w:rPr>
          <w:rFonts w:hint="default" w:ascii="TimesNewRomanPSMT" w:hAnsi="TimesNewRomanPSMT" w:eastAsia="TimesNewRomanPSMT" w:cs="TimesNewRomanPSMT"/>
          <w:color w:val="000000"/>
          <w:kern w:val="0"/>
          <w:sz w:val="31"/>
          <w:szCs w:val="31"/>
          <w:lang w:val="en-US" w:eastAsia="zh-CN" w:bidi="ar"/>
        </w:rPr>
        <w:t xml:space="preserve"> </w:t>
      </w:r>
      <w:r>
        <w:rPr>
          <w:rFonts w:hint="eastAsia" w:ascii="方正仿宋_GBK" w:hAnsi="方正仿宋_GBK" w:eastAsia="方正仿宋_GBK" w:cs="方正仿宋_GBK"/>
          <w:color w:val="000000"/>
          <w:kern w:val="0"/>
          <w:sz w:val="31"/>
          <w:szCs w:val="31"/>
          <w:lang w:val="en-US" w:eastAsia="zh-CN" w:bidi="ar"/>
        </w:rPr>
        <w:t>日。</w:t>
      </w:r>
    </w:p>
    <w:p>
      <w:pPr>
        <w:bidi w:val="0"/>
        <w:rPr>
          <w:rFonts w:ascii="Times New Roman" w:hAnsi="Times New Roman" w:eastAsia="宋体" w:cs="Times New Roman"/>
          <w:kern w:val="2"/>
          <w:sz w:val="21"/>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1BBE7C-7B6B-4136-8695-2EBCCA2D403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E0000" w:usb2="00000000" w:usb3="00000000" w:csb0="00040000" w:csb1="00000000"/>
    <w:embedRegular r:id="rId2" w:fontKey="{FD8B5CDE-BA1D-4049-9EF9-ED528963A3D5}"/>
  </w:font>
  <w:font w:name="华文中宋">
    <w:panose1 w:val="02010600040101010101"/>
    <w:charset w:val="86"/>
    <w:family w:val="auto"/>
    <w:pitch w:val="default"/>
    <w:sig w:usb0="00000287" w:usb1="080F0000" w:usb2="00000000" w:usb3="00000000" w:csb0="0004009F" w:csb1="DFD70000"/>
    <w:embedRegular r:id="rId3" w:fontKey="{11CD0C8C-F89A-49FE-AAD3-55290783D214}"/>
  </w:font>
  <w:font w:name="仿宋">
    <w:panose1 w:val="02010609060101010101"/>
    <w:charset w:val="86"/>
    <w:family w:val="modern"/>
    <w:pitch w:val="default"/>
    <w:sig w:usb0="800002BF" w:usb1="38CF7CFA" w:usb2="00000016" w:usb3="00000000" w:csb0="00040001" w:csb1="00000000"/>
    <w:embedRegular r:id="rId4" w:fontKey="{880B4C1A-8C4C-4337-8533-8D924351327A}"/>
  </w:font>
  <w:font w:name="楷体">
    <w:panose1 w:val="02010609060101010101"/>
    <w:charset w:val="86"/>
    <w:family w:val="modern"/>
    <w:pitch w:val="default"/>
    <w:sig w:usb0="800002BF" w:usb1="38CF7CFA" w:usb2="00000016" w:usb3="00000000" w:csb0="00040001" w:csb1="00000000"/>
    <w:embedRegular r:id="rId5" w:fontKey="{F80B3602-8ED8-4101-8F91-AAE4C127E69B}"/>
  </w:font>
  <w:font w:name="方正仿宋_GBK">
    <w:panose1 w:val="02000000000000000000"/>
    <w:charset w:val="86"/>
    <w:family w:val="auto"/>
    <w:pitch w:val="default"/>
    <w:sig w:usb0="00000001" w:usb1="080E0000" w:usb2="00000000" w:usb3="00000000" w:csb0="00040000" w:csb1="00000000"/>
    <w:embedRegular r:id="rId6" w:fontKey="{035B4B4D-DD1B-4971-9F50-E6CD2EB83DB4}"/>
  </w:font>
  <w:font w:name="TimesNewRomanPSMT">
    <w:altName w:val="Times New Roman"/>
    <w:panose1 w:val="00000000000000000000"/>
    <w:charset w:val="00"/>
    <w:family w:val="auto"/>
    <w:pitch w:val="default"/>
    <w:sig w:usb0="00000000" w:usb1="00000000" w:usb2="00000000" w:usb3="00000000" w:csb0="00000000" w:csb1="00000000"/>
    <w:embedRegular r:id="rId7" w:fontKey="{7FF74083-6250-4D81-BBF7-D69EC3BF87A4}"/>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233C2D"/>
    <w:rsid w:val="246138FB"/>
    <w:rsid w:val="41C36538"/>
    <w:rsid w:val="5D6B3D04"/>
    <w:rsid w:val="7F233C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0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2020-12-08T09:20:00Z</dcterms:created>
  <dc:creator>Forever</dc:creator>
  <cp:lastModifiedBy>Forever</cp:lastModifiedBy>
  <dcterms:modified xsi:type="dcterms:W3CDTF">2020-12-08T09:46:45Z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