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楷体_GB2312" w:hAnsi="Times New Roman" w:eastAsia="楷体_GB2312" w:cs="Times New Roman"/>
          <w:sz w:val="28"/>
          <w:szCs w:val="28"/>
        </w:rPr>
      </w:pPr>
      <w:r>
        <w:rPr>
          <w:rFonts w:hint="eastAsia" w:ascii="楷体_GB2312" w:hAnsi="Times New Roman" w:eastAsia="楷体_GB2312" w:cs="Times New Roman"/>
          <w:sz w:val="28"/>
          <w:szCs w:val="28"/>
        </w:rPr>
        <w:t>附件1</w:t>
      </w:r>
    </w:p>
    <w:p>
      <w:pPr>
        <w:jc w:val="center"/>
        <w:rPr>
          <w:rFonts w:hint="eastAsia" w:asciiTheme="minorHAnsi" w:hAnsiTheme="minorHAnsi" w:eastAsiaTheme="minorEastAsia" w:cstheme="minorBidi"/>
          <w:b/>
          <w:sz w:val="28"/>
          <w:szCs w:val="28"/>
        </w:rPr>
      </w:pPr>
      <w:r>
        <w:rPr>
          <w:b/>
          <w:sz w:val="28"/>
          <w:szCs w:val="28"/>
        </w:rPr>
        <w:t>共青团</w:t>
      </w:r>
      <w:r>
        <w:rPr>
          <w:rFonts w:hint="eastAsia"/>
          <w:b/>
          <w:sz w:val="28"/>
          <w:szCs w:val="28"/>
        </w:rPr>
        <w:t>2018年新媒体工作培训班</w:t>
      </w:r>
      <w:r>
        <w:rPr>
          <w:rFonts w:hint="eastAsia" w:asciiTheme="minorHAnsi" w:hAnsiTheme="minorHAnsi" w:eastAsiaTheme="minorEastAsia" w:cstheme="minorBidi"/>
          <w:b/>
          <w:sz w:val="28"/>
          <w:szCs w:val="28"/>
        </w:rPr>
        <w:t>课程安排</w:t>
      </w:r>
    </w:p>
    <w:p>
      <w:pPr>
        <w:spacing w:line="520" w:lineRule="exact"/>
        <w:jc w:val="left"/>
        <w:rPr>
          <w:b w:val="0"/>
          <w:sz w:val="24"/>
          <w:szCs w:val="24"/>
        </w:rPr>
      </w:pPr>
    </w:p>
    <w:p>
      <w:pPr>
        <w:spacing w:line="520" w:lineRule="exact"/>
        <w:jc w:val="left"/>
        <w:rPr>
          <w:b w:val="0"/>
          <w:sz w:val="24"/>
          <w:szCs w:val="24"/>
        </w:rPr>
      </w:pPr>
      <w:r>
        <w:rPr>
          <w:b w:val="0"/>
          <w:sz w:val="24"/>
          <w:szCs w:val="24"/>
        </w:rPr>
        <w:t>时间</w:t>
      </w:r>
      <w:r>
        <w:rPr>
          <w:rFonts w:hint="eastAsia"/>
          <w:b w:val="0"/>
          <w:sz w:val="24"/>
          <w:szCs w:val="24"/>
        </w:rPr>
        <w:t>： 1</w:t>
      </w:r>
      <w:r>
        <w:rPr>
          <w:b w:val="0"/>
          <w:sz w:val="24"/>
          <w:szCs w:val="24"/>
        </w:rPr>
        <w:t>1月</w:t>
      </w:r>
      <w:r>
        <w:rPr>
          <w:rFonts w:hint="eastAsia"/>
          <w:b w:val="0"/>
          <w:sz w:val="24"/>
          <w:szCs w:val="24"/>
        </w:rPr>
        <w:t>2</w:t>
      </w:r>
      <w:r>
        <w:rPr>
          <w:b w:val="0"/>
          <w:sz w:val="24"/>
          <w:szCs w:val="24"/>
        </w:rPr>
        <w:t>4日</w:t>
      </w:r>
      <w:r>
        <w:rPr>
          <w:rFonts w:hint="eastAsia"/>
          <w:b w:val="0"/>
          <w:sz w:val="24"/>
          <w:szCs w:val="24"/>
        </w:rPr>
        <w:t>（星期六）</w:t>
      </w:r>
    </w:p>
    <w:p>
      <w:pPr>
        <w:spacing w:line="520" w:lineRule="exact"/>
        <w:jc w:val="left"/>
        <w:rPr>
          <w:rFonts w:ascii="Times New Roman" w:hAnsi="Times New Roman" w:eastAsia="方正大标宋简体" w:cs="Times New Roman"/>
          <w:b w:val="0"/>
          <w:sz w:val="24"/>
          <w:szCs w:val="24"/>
        </w:rPr>
      </w:pPr>
      <w:r>
        <w:rPr>
          <w:b w:val="0"/>
          <w:sz w:val="24"/>
          <w:szCs w:val="24"/>
        </w:rPr>
        <w:t>地点</w:t>
      </w:r>
      <w:r>
        <w:rPr>
          <w:rFonts w:hint="eastAsia"/>
          <w:b w:val="0"/>
          <w:sz w:val="24"/>
          <w:szCs w:val="24"/>
        </w:rPr>
        <w:t>：</w:t>
      </w:r>
      <w:r>
        <w:rPr>
          <w:rFonts w:hint="eastAsia" w:ascii="宋体" w:hAnsi="宋体" w:cs="宋体"/>
          <w:color w:val="000000"/>
          <w:sz w:val="24"/>
          <w:szCs w:val="24"/>
        </w:rPr>
        <w:t>广州校区南校园第三教学楼讲学厅</w:t>
      </w:r>
    </w:p>
    <w:tbl>
      <w:tblPr>
        <w:tblStyle w:val="5"/>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3430"/>
        <w:gridCol w:w="4110"/>
      </w:tblGrid>
      <w:tr>
        <w:tblPrEx>
          <w:tblLayout w:type="fixed"/>
        </w:tblPrEx>
        <w:trPr>
          <w:trHeight w:val="917" w:hRule="atLeast"/>
        </w:trPr>
        <w:tc>
          <w:tcPr>
            <w:tcW w:w="1716" w:type="dxa"/>
            <w:vAlign w:val="center"/>
          </w:tcPr>
          <w:p>
            <w:pPr>
              <w:jc w:val="center"/>
            </w:pPr>
            <w:r>
              <w:rPr>
                <w:rFonts w:hint="eastAsia" w:ascii="宋体" w:hAnsi="宋体" w:eastAsia="宋体"/>
                <w:b/>
                <w:sz w:val="24"/>
                <w:szCs w:val="24"/>
              </w:rPr>
              <w:t>时间</w:t>
            </w:r>
          </w:p>
        </w:tc>
        <w:tc>
          <w:tcPr>
            <w:tcW w:w="3430" w:type="dxa"/>
            <w:vAlign w:val="center"/>
          </w:tcPr>
          <w:p>
            <w:pPr>
              <w:jc w:val="center"/>
            </w:pPr>
            <w:r>
              <w:rPr>
                <w:rFonts w:hint="eastAsia" w:ascii="宋体" w:hAnsi="宋体" w:eastAsia="宋体"/>
                <w:b/>
                <w:sz w:val="24"/>
                <w:szCs w:val="24"/>
              </w:rPr>
              <w:t>课程安排</w:t>
            </w:r>
          </w:p>
        </w:tc>
        <w:tc>
          <w:tcPr>
            <w:tcW w:w="4110" w:type="dxa"/>
            <w:vAlign w:val="center"/>
          </w:tcPr>
          <w:p>
            <w:pPr>
              <w:jc w:val="center"/>
            </w:pPr>
            <w:r>
              <w:rPr>
                <w:rFonts w:hint="eastAsia" w:ascii="宋体" w:hAnsi="宋体" w:eastAsia="宋体"/>
                <w:b/>
                <w:sz w:val="24"/>
                <w:szCs w:val="24"/>
              </w:rPr>
              <w:t>具体内容</w:t>
            </w:r>
          </w:p>
        </w:tc>
      </w:tr>
      <w:tr>
        <w:tblPrEx>
          <w:tblLayout w:type="fixed"/>
        </w:tblPrEx>
        <w:trPr>
          <w:trHeight w:val="812" w:hRule="atLeast"/>
        </w:trPr>
        <w:tc>
          <w:tcPr>
            <w:tcW w:w="1716" w:type="dxa"/>
            <w:vAlign w:val="center"/>
          </w:tcPr>
          <w:p>
            <w:pPr>
              <w:jc w:val="center"/>
            </w:pPr>
            <w:r>
              <w:rPr>
                <w:rFonts w:hint="eastAsia" w:ascii="宋体" w:hAnsi="宋体" w:eastAsia="宋体"/>
                <w:sz w:val="24"/>
                <w:szCs w:val="24"/>
              </w:rPr>
              <w:t>9:00-9:10</w:t>
            </w:r>
          </w:p>
        </w:tc>
        <w:tc>
          <w:tcPr>
            <w:tcW w:w="3430" w:type="dxa"/>
            <w:vAlign w:val="center"/>
          </w:tcPr>
          <w:p>
            <w:pPr>
              <w:jc w:val="center"/>
            </w:pPr>
            <w:r>
              <w:rPr>
                <w:rFonts w:hint="eastAsia" w:ascii="宋体" w:hAnsi="宋体" w:eastAsia="宋体"/>
                <w:sz w:val="24"/>
                <w:szCs w:val="24"/>
              </w:rPr>
              <w:t>开班</w:t>
            </w:r>
          </w:p>
        </w:tc>
        <w:tc>
          <w:tcPr>
            <w:tcW w:w="4110" w:type="dxa"/>
            <w:vAlign w:val="center"/>
          </w:tcPr>
          <w:p>
            <w:pPr/>
            <w:r>
              <w:rPr>
                <w:rFonts w:hint="eastAsia" w:ascii="宋体" w:hAnsi="宋体" w:eastAsia="宋体"/>
                <w:sz w:val="24"/>
                <w:szCs w:val="24"/>
              </w:rPr>
              <w:t>校团委副书记马明辉教授讲话</w:t>
            </w:r>
          </w:p>
        </w:tc>
      </w:tr>
      <w:tr>
        <w:tblPrEx>
          <w:tblLayout w:type="fixed"/>
        </w:tblPrEx>
        <w:trPr>
          <w:trHeight w:val="1286" w:hRule="atLeast"/>
        </w:trPr>
        <w:tc>
          <w:tcPr>
            <w:tcW w:w="1716" w:type="dxa"/>
            <w:vAlign w:val="center"/>
          </w:tcPr>
          <w:p>
            <w:pPr>
              <w:jc w:val="center"/>
            </w:pPr>
            <w:r>
              <w:rPr>
                <w:rFonts w:hint="eastAsia" w:ascii="宋体" w:hAnsi="宋体" w:eastAsia="宋体"/>
                <w:sz w:val="24"/>
                <w:szCs w:val="24"/>
              </w:rPr>
              <w:t>9:15-10:15</w:t>
            </w:r>
          </w:p>
        </w:tc>
        <w:tc>
          <w:tcPr>
            <w:tcW w:w="3430" w:type="dxa"/>
            <w:vAlign w:val="center"/>
          </w:tcPr>
          <w:p>
            <w:pPr>
              <w:jc w:val="center"/>
              <w:rPr>
                <w:rFonts w:ascii="宋体" w:hAnsi="宋体" w:eastAsia="宋体"/>
                <w:sz w:val="24"/>
                <w:szCs w:val="24"/>
              </w:rPr>
            </w:pPr>
            <w:r>
              <w:rPr>
                <w:rFonts w:hint="eastAsia" w:ascii="宋体" w:hAnsi="宋体" w:eastAsia="宋体"/>
                <w:sz w:val="24"/>
                <w:szCs w:val="24"/>
              </w:rPr>
              <w:t>讲座一</w:t>
            </w:r>
          </w:p>
          <w:p>
            <w:pPr>
              <w:jc w:val="center"/>
            </w:pPr>
          </w:p>
        </w:tc>
        <w:tc>
          <w:tcPr>
            <w:tcW w:w="4110" w:type="dxa"/>
            <w:vAlign w:val="center"/>
          </w:tcPr>
          <w:p>
            <w:pPr>
              <w:rPr>
                <w:rFonts w:ascii="宋体" w:hAnsi="宋体" w:eastAsia="宋体"/>
                <w:sz w:val="24"/>
                <w:szCs w:val="24"/>
              </w:rPr>
            </w:pPr>
            <w:r>
              <w:rPr>
                <w:rFonts w:hint="eastAsia" w:ascii="宋体" w:hAnsi="宋体" w:eastAsia="宋体"/>
                <w:sz w:val="24"/>
                <w:szCs w:val="24"/>
              </w:rPr>
              <w:t>主讲嘉宾：李劲峰（中山大学党委宣传部老师）</w:t>
            </w:r>
          </w:p>
          <w:p>
            <w:pPr/>
            <w:r>
              <w:rPr>
                <w:rFonts w:hint="eastAsia" w:ascii="宋体" w:hAnsi="宋体" w:eastAsia="宋体"/>
                <w:sz w:val="24"/>
                <w:szCs w:val="24"/>
              </w:rPr>
              <w:t>主题：如何提高宣传工作思想与意识</w:t>
            </w:r>
          </w:p>
        </w:tc>
      </w:tr>
      <w:tr>
        <w:trPr>
          <w:trHeight w:val="1261" w:hRule="atLeast"/>
        </w:trPr>
        <w:tc>
          <w:tcPr>
            <w:tcW w:w="1716" w:type="dxa"/>
            <w:vAlign w:val="center"/>
          </w:tcPr>
          <w:p>
            <w:pPr>
              <w:jc w:val="center"/>
            </w:pPr>
            <w:r>
              <w:rPr>
                <w:rFonts w:hint="eastAsia" w:ascii="宋体" w:hAnsi="宋体" w:eastAsia="宋体"/>
                <w:sz w:val="24"/>
                <w:szCs w:val="24"/>
              </w:rPr>
              <w:t>10:20-12:00</w:t>
            </w:r>
          </w:p>
        </w:tc>
        <w:tc>
          <w:tcPr>
            <w:tcW w:w="3430" w:type="dxa"/>
            <w:vAlign w:val="center"/>
          </w:tcPr>
          <w:p>
            <w:pPr>
              <w:jc w:val="center"/>
            </w:pPr>
            <w:r>
              <w:rPr>
                <w:rFonts w:hint="eastAsia" w:ascii="宋体" w:hAnsi="宋体" w:eastAsia="宋体"/>
                <w:sz w:val="24"/>
                <w:szCs w:val="24"/>
              </w:rPr>
              <w:t>讲座二</w:t>
            </w:r>
          </w:p>
        </w:tc>
        <w:tc>
          <w:tcPr>
            <w:tcW w:w="4110" w:type="dxa"/>
            <w:vAlign w:val="center"/>
          </w:tcPr>
          <w:p>
            <w:pPr>
              <w:rPr>
                <w:rFonts w:ascii="宋体" w:hAnsi="宋体" w:eastAsia="宋体"/>
                <w:sz w:val="24"/>
                <w:szCs w:val="24"/>
              </w:rPr>
            </w:pPr>
            <w:r>
              <w:rPr>
                <w:rFonts w:hint="eastAsia" w:ascii="宋体" w:hAnsi="宋体" w:eastAsia="宋体"/>
                <w:sz w:val="24"/>
                <w:szCs w:val="24"/>
              </w:rPr>
              <w:t>主讲嘉宾：邹纯娓（“广东共青团”微信公众号副主编）</w:t>
            </w:r>
          </w:p>
          <w:p>
            <w:pPr/>
            <w:r>
              <w:rPr>
                <w:rFonts w:hint="eastAsia" w:ascii="宋体" w:hAnsi="宋体" w:eastAsia="宋体"/>
                <w:sz w:val="24"/>
                <w:szCs w:val="24"/>
              </w:rPr>
              <w:t>主题：新媒体工作探索与运营技巧</w:t>
            </w:r>
          </w:p>
        </w:tc>
      </w:tr>
      <w:tr>
        <w:trPr>
          <w:trHeight w:val="767" w:hRule="atLeast"/>
        </w:trPr>
        <w:tc>
          <w:tcPr>
            <w:tcW w:w="1716" w:type="dxa"/>
            <w:vAlign w:val="center"/>
          </w:tcPr>
          <w:p>
            <w:pPr>
              <w:jc w:val="center"/>
            </w:pPr>
            <w:r>
              <w:rPr>
                <w:rFonts w:hint="eastAsia" w:ascii="宋体" w:hAnsi="宋体" w:eastAsia="宋体"/>
                <w:sz w:val="24"/>
                <w:szCs w:val="24"/>
              </w:rPr>
              <w:t>12:00-</w:t>
            </w:r>
            <w:r>
              <w:rPr>
                <w:rFonts w:ascii="宋体" w:hAnsi="宋体" w:eastAsia="宋体"/>
                <w:sz w:val="24"/>
                <w:szCs w:val="24"/>
              </w:rPr>
              <w:t>1</w:t>
            </w:r>
            <w:r>
              <w:rPr>
                <w:rFonts w:hint="eastAsia" w:ascii="宋体" w:hAnsi="宋体" w:eastAsia="宋体"/>
                <w:sz w:val="24"/>
                <w:szCs w:val="24"/>
              </w:rPr>
              <w:t>4:3</w:t>
            </w:r>
            <w:r>
              <w:rPr>
                <w:rFonts w:ascii="宋体" w:hAnsi="宋体" w:eastAsia="宋体"/>
                <w:sz w:val="24"/>
                <w:szCs w:val="24"/>
              </w:rPr>
              <w:t>0</w:t>
            </w:r>
          </w:p>
        </w:tc>
        <w:tc>
          <w:tcPr>
            <w:tcW w:w="3430" w:type="dxa"/>
            <w:vAlign w:val="center"/>
          </w:tcPr>
          <w:p>
            <w:pPr>
              <w:jc w:val="center"/>
            </w:pPr>
            <w:r>
              <w:rPr>
                <w:rFonts w:hint="eastAsia" w:ascii="宋体" w:hAnsi="宋体" w:eastAsia="宋体"/>
                <w:sz w:val="24"/>
                <w:szCs w:val="24"/>
              </w:rPr>
              <w:t>午休</w:t>
            </w:r>
          </w:p>
        </w:tc>
        <w:tc>
          <w:tcPr>
            <w:tcW w:w="4110" w:type="dxa"/>
            <w:vAlign w:val="center"/>
          </w:tcPr>
          <w:p>
            <w:pPr/>
            <w:r>
              <w:rPr>
                <w:rFonts w:hint="eastAsia" w:ascii="宋体" w:hAnsi="宋体" w:eastAsia="宋体"/>
                <w:sz w:val="24"/>
                <w:szCs w:val="24"/>
              </w:rPr>
              <w:t>午休</w:t>
            </w:r>
          </w:p>
        </w:tc>
      </w:tr>
      <w:tr>
        <w:trPr>
          <w:trHeight w:val="1271" w:hRule="atLeast"/>
        </w:trPr>
        <w:tc>
          <w:tcPr>
            <w:tcW w:w="1716" w:type="dxa"/>
            <w:vAlign w:val="center"/>
          </w:tcPr>
          <w:p>
            <w:pPr>
              <w:jc w:val="center"/>
            </w:pPr>
            <w:r>
              <w:rPr>
                <w:rFonts w:hint="eastAsia" w:ascii="宋体" w:hAnsi="宋体" w:eastAsia="宋体"/>
                <w:sz w:val="24"/>
                <w:szCs w:val="24"/>
              </w:rPr>
              <w:t>15:00-</w:t>
            </w:r>
            <w:r>
              <w:rPr>
                <w:rFonts w:ascii="宋体" w:hAnsi="宋体" w:eastAsia="宋体"/>
                <w:sz w:val="24"/>
                <w:szCs w:val="24"/>
              </w:rPr>
              <w:t>1</w:t>
            </w:r>
            <w:r>
              <w:rPr>
                <w:rFonts w:hint="eastAsia" w:ascii="宋体" w:hAnsi="宋体" w:eastAsia="宋体"/>
                <w:sz w:val="24"/>
                <w:szCs w:val="24"/>
              </w:rPr>
              <w:t>6:00</w:t>
            </w:r>
          </w:p>
        </w:tc>
        <w:tc>
          <w:tcPr>
            <w:tcW w:w="3430" w:type="dxa"/>
            <w:vAlign w:val="center"/>
          </w:tcPr>
          <w:p>
            <w:pPr>
              <w:jc w:val="center"/>
              <w:rPr>
                <w:rFonts w:ascii="宋体" w:hAnsi="宋体" w:eastAsia="宋体"/>
                <w:sz w:val="24"/>
                <w:szCs w:val="24"/>
              </w:rPr>
            </w:pPr>
            <w:r>
              <w:rPr>
                <w:rFonts w:hint="eastAsia" w:ascii="宋体" w:hAnsi="宋体" w:eastAsia="宋体"/>
                <w:sz w:val="24"/>
                <w:szCs w:val="24"/>
              </w:rPr>
              <w:t>讲座三</w:t>
            </w:r>
          </w:p>
          <w:p>
            <w:pPr>
              <w:jc w:val="center"/>
            </w:pPr>
          </w:p>
        </w:tc>
        <w:tc>
          <w:tcPr>
            <w:tcW w:w="4110" w:type="dxa"/>
            <w:vAlign w:val="center"/>
          </w:tcPr>
          <w:p>
            <w:pPr>
              <w:rPr>
                <w:rFonts w:ascii="宋体" w:hAnsi="宋体" w:eastAsia="宋体"/>
                <w:sz w:val="24"/>
                <w:szCs w:val="24"/>
              </w:rPr>
            </w:pPr>
            <w:r>
              <w:rPr>
                <w:rFonts w:hint="eastAsia" w:ascii="宋体" w:hAnsi="宋体" w:eastAsia="宋体"/>
                <w:sz w:val="24"/>
                <w:szCs w:val="24"/>
              </w:rPr>
              <w:t>主讲嘉宾：张剑（中山大学图蜂影像团队）</w:t>
            </w:r>
          </w:p>
          <w:p>
            <w:pPr/>
            <w:r>
              <w:rPr>
                <w:rFonts w:hint="eastAsia" w:ascii="宋体" w:hAnsi="宋体" w:eastAsia="宋体"/>
                <w:sz w:val="24"/>
                <w:szCs w:val="24"/>
              </w:rPr>
              <w:t>主题：拍摄与影像处理</w:t>
            </w:r>
          </w:p>
        </w:tc>
      </w:tr>
      <w:tr>
        <w:trPr>
          <w:trHeight w:val="1428" w:hRule="atLeast"/>
        </w:trPr>
        <w:tc>
          <w:tcPr>
            <w:tcW w:w="1716" w:type="dxa"/>
            <w:vAlign w:val="center"/>
          </w:tcPr>
          <w:p>
            <w:pPr>
              <w:jc w:val="center"/>
            </w:pPr>
            <w:r>
              <w:rPr>
                <w:rFonts w:hint="eastAsia" w:ascii="宋体" w:hAnsi="宋体" w:eastAsia="宋体"/>
                <w:sz w:val="24"/>
                <w:szCs w:val="24"/>
              </w:rPr>
              <w:t>16</w:t>
            </w:r>
            <w:r>
              <w:rPr>
                <w:rFonts w:ascii="宋体" w:hAnsi="宋体" w:eastAsia="宋体"/>
                <w:sz w:val="24"/>
                <w:szCs w:val="24"/>
              </w:rPr>
              <w:t>:</w:t>
            </w:r>
            <w:r>
              <w:rPr>
                <w:rFonts w:hint="eastAsia" w:ascii="宋体" w:hAnsi="宋体" w:eastAsia="宋体"/>
                <w:sz w:val="24"/>
                <w:szCs w:val="24"/>
              </w:rPr>
              <w:t>1</w:t>
            </w:r>
            <w:r>
              <w:rPr>
                <w:rFonts w:ascii="宋体" w:hAnsi="宋体" w:eastAsia="宋体"/>
                <w:sz w:val="24"/>
                <w:szCs w:val="24"/>
              </w:rPr>
              <w:t>0-1</w:t>
            </w: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3</w:t>
            </w:r>
            <w:r>
              <w:rPr>
                <w:rFonts w:ascii="宋体" w:hAnsi="宋体" w:eastAsia="宋体"/>
                <w:sz w:val="24"/>
                <w:szCs w:val="24"/>
              </w:rPr>
              <w:t>0</w:t>
            </w:r>
          </w:p>
        </w:tc>
        <w:tc>
          <w:tcPr>
            <w:tcW w:w="3430" w:type="dxa"/>
            <w:vAlign w:val="center"/>
          </w:tcPr>
          <w:p>
            <w:pPr>
              <w:jc w:val="center"/>
              <w:rPr>
                <w:rFonts w:ascii="宋体" w:hAnsi="宋体" w:eastAsia="宋体"/>
                <w:sz w:val="24"/>
                <w:szCs w:val="24"/>
              </w:rPr>
            </w:pPr>
          </w:p>
          <w:p>
            <w:pPr>
              <w:jc w:val="center"/>
              <w:rPr>
                <w:rFonts w:ascii="宋体" w:hAnsi="宋体" w:eastAsia="宋体"/>
                <w:sz w:val="24"/>
                <w:szCs w:val="24"/>
              </w:rPr>
            </w:pPr>
            <w:r>
              <w:rPr>
                <w:rFonts w:hint="eastAsia" w:ascii="宋体" w:hAnsi="宋体" w:eastAsia="宋体"/>
                <w:sz w:val="24"/>
                <w:szCs w:val="24"/>
              </w:rPr>
              <w:t>讲座四</w:t>
            </w:r>
          </w:p>
          <w:p>
            <w:pPr>
              <w:jc w:val="center"/>
            </w:pPr>
          </w:p>
        </w:tc>
        <w:tc>
          <w:tcPr>
            <w:tcW w:w="4110" w:type="dxa"/>
            <w:vAlign w:val="center"/>
          </w:tcPr>
          <w:p>
            <w:pPr>
              <w:rPr>
                <w:rFonts w:ascii="宋体" w:hAnsi="宋体" w:eastAsia="宋体"/>
                <w:sz w:val="24"/>
                <w:szCs w:val="24"/>
              </w:rPr>
            </w:pPr>
            <w:r>
              <w:rPr>
                <w:rFonts w:hint="eastAsia" w:ascii="宋体" w:hAnsi="宋体" w:eastAsia="宋体"/>
                <w:sz w:val="24"/>
                <w:szCs w:val="24"/>
              </w:rPr>
              <w:t>主讲嘉宾：叶前（新华通讯社广东分社副总编辑）</w:t>
            </w:r>
          </w:p>
          <w:p>
            <w:pPr/>
            <w:r>
              <w:rPr>
                <w:rFonts w:hint="eastAsia" w:ascii="宋体" w:hAnsi="宋体" w:eastAsia="宋体"/>
                <w:sz w:val="24"/>
                <w:szCs w:val="24"/>
              </w:rPr>
              <w:t>主题：新媒体工作能力提升与互动交流讨论</w:t>
            </w:r>
          </w:p>
        </w:tc>
      </w:tr>
      <w:tr>
        <w:trPr>
          <w:trHeight w:val="942" w:hRule="atLeast"/>
        </w:trPr>
        <w:tc>
          <w:tcPr>
            <w:tcW w:w="1716" w:type="dxa"/>
            <w:vAlign w:val="center"/>
          </w:tcPr>
          <w:p>
            <w:pPr>
              <w:jc w:val="center"/>
            </w:pPr>
            <w:r>
              <w:rPr>
                <w:rFonts w:hint="eastAsia" w:ascii="宋体" w:hAnsi="宋体" w:eastAsia="宋体"/>
                <w:sz w:val="24"/>
                <w:szCs w:val="24"/>
              </w:rPr>
              <w:t>17</w:t>
            </w:r>
            <w:r>
              <w:rPr>
                <w:rFonts w:ascii="宋体" w:hAnsi="宋体" w:eastAsia="宋体"/>
                <w:sz w:val="24"/>
                <w:szCs w:val="24"/>
              </w:rPr>
              <w:t>:</w:t>
            </w:r>
            <w:r>
              <w:rPr>
                <w:rFonts w:hint="eastAsia" w:ascii="宋体" w:hAnsi="宋体" w:eastAsia="宋体"/>
                <w:sz w:val="24"/>
                <w:szCs w:val="24"/>
              </w:rPr>
              <w:t>3</w:t>
            </w:r>
            <w:r>
              <w:rPr>
                <w:rFonts w:ascii="宋体" w:hAnsi="宋体" w:eastAsia="宋体"/>
                <w:sz w:val="24"/>
                <w:szCs w:val="24"/>
              </w:rPr>
              <w:t>0-1</w:t>
            </w: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4</w:t>
            </w:r>
            <w:r>
              <w:rPr>
                <w:rFonts w:ascii="宋体" w:hAnsi="宋体" w:eastAsia="宋体"/>
                <w:sz w:val="24"/>
                <w:szCs w:val="24"/>
              </w:rPr>
              <w:t>0</w:t>
            </w:r>
          </w:p>
        </w:tc>
        <w:tc>
          <w:tcPr>
            <w:tcW w:w="3430" w:type="dxa"/>
            <w:vAlign w:val="center"/>
          </w:tcPr>
          <w:p>
            <w:pPr>
              <w:jc w:val="center"/>
            </w:pPr>
            <w:r>
              <w:rPr>
                <w:rFonts w:ascii="宋体" w:hAnsi="宋体" w:eastAsia="宋体"/>
                <w:sz w:val="24"/>
                <w:szCs w:val="24"/>
              </w:rPr>
              <w:t>结业</w:t>
            </w:r>
          </w:p>
        </w:tc>
        <w:tc>
          <w:tcPr>
            <w:tcW w:w="4110" w:type="dxa"/>
            <w:vAlign w:val="center"/>
          </w:tcPr>
          <w:p>
            <w:pPr/>
            <w:r>
              <w:rPr>
                <w:rFonts w:hint="eastAsia" w:ascii="宋体" w:hAnsi="宋体" w:eastAsia="宋体"/>
                <w:sz w:val="24"/>
                <w:szCs w:val="24"/>
              </w:rPr>
              <w:t>合影留念</w:t>
            </w:r>
          </w:p>
        </w:tc>
      </w:tr>
    </w:tbl>
    <w:p>
      <w:pPr>
        <w:rPr>
          <w:rFonts w:hint="eastAsia" w:asciiTheme="minorHAnsi" w:hAnsiTheme="minorHAnsi" w:eastAsiaTheme="minorEastAsia" w:cstheme="minorBidi"/>
          <w:b/>
          <w:sz w:val="28"/>
          <w:szCs w:val="28"/>
        </w:rPr>
      </w:pPr>
    </w:p>
    <w:p>
      <w:pPr>
        <w:rPr>
          <w:rFonts w:hint="eastAsia" w:asciiTheme="minorHAnsi" w:hAnsiTheme="minorHAnsi" w:eastAsiaTheme="minorEastAsia" w:cstheme="minorBidi"/>
          <w:b/>
          <w:sz w:val="28"/>
          <w:szCs w:val="28"/>
        </w:rPr>
      </w:pPr>
    </w:p>
    <w:p>
      <w:pPr>
        <w:rPr>
          <w:rFonts w:hint="eastAsia" w:asciiTheme="minorHAnsi" w:hAnsiTheme="minorHAnsi" w:eastAsiaTheme="minorEastAsia" w:cstheme="minorBidi"/>
          <w:b/>
          <w:sz w:val="28"/>
          <w:szCs w:val="28"/>
        </w:rPr>
      </w:pPr>
    </w:p>
    <w:p>
      <w:pPr>
        <w:rPr>
          <w:rFonts w:hint="eastAsia" w:asciiTheme="minorHAnsi" w:hAnsiTheme="minorHAnsi" w:eastAsiaTheme="minorEastAsia" w:cstheme="minorBidi"/>
          <w:b/>
          <w:sz w:val="28"/>
          <w:szCs w:val="28"/>
        </w:rPr>
      </w:pPr>
    </w:p>
    <w:p>
      <w:pPr>
        <w:pStyle w:val="2"/>
        <w:spacing w:line="560" w:lineRule="exact"/>
        <w:rPr>
          <w:rFonts w:ascii="黑体" w:hAnsi="黑体" w:eastAsia="黑体"/>
          <w:sz w:val="32"/>
          <w:szCs w:val="32"/>
        </w:rPr>
      </w:pPr>
      <w:r>
        <w:rPr>
          <w:rFonts w:hint="eastAsia" w:ascii="黑体" w:hAnsi="黑体" w:eastAsia="黑体"/>
          <w:sz w:val="32"/>
          <w:szCs w:val="32"/>
        </w:rPr>
        <w:t>嘉宾简介</w:t>
      </w:r>
      <w:r>
        <w:rPr>
          <w:rFonts w:hint="eastAsia" w:ascii="仿宋_GB2312" w:eastAsia="仿宋_GB2312"/>
          <w:b w:val="0"/>
          <w:sz w:val="32"/>
          <w:szCs w:val="32"/>
        </w:rPr>
        <w:t>（按</w:t>
      </w:r>
      <w:r>
        <w:rPr>
          <w:rFonts w:ascii="仿宋_GB2312" w:eastAsia="仿宋_GB2312"/>
          <w:b w:val="0"/>
          <w:sz w:val="32"/>
          <w:szCs w:val="32"/>
        </w:rPr>
        <w:t>授课顺序</w:t>
      </w:r>
      <w:r>
        <w:rPr>
          <w:rFonts w:hint="eastAsia" w:ascii="仿宋_GB2312" w:eastAsia="仿宋_GB2312"/>
          <w:b w:val="0"/>
          <w:sz w:val="32"/>
          <w:szCs w:val="32"/>
        </w:rPr>
        <w:t>）</w:t>
      </w:r>
    </w:p>
    <w:p>
      <w:pPr>
        <w:spacing w:line="560" w:lineRule="exact"/>
        <w:rPr>
          <w:rFonts w:hint="eastAsia" w:ascii="仿宋_GB2312" w:hAnsi="仿宋" w:eastAsia="仿宋_GB2312"/>
          <w:b/>
          <w:sz w:val="32"/>
          <w:szCs w:val="32"/>
        </w:rPr>
      </w:pPr>
      <w:r>
        <w:rPr>
          <w:rFonts w:hint="eastAsia" w:ascii="仿宋_GB2312" w:hAnsi="仿宋" w:eastAsia="仿宋_GB2312"/>
          <w:b/>
          <w:sz w:val="32"/>
          <w:szCs w:val="32"/>
        </w:rPr>
        <w:t>1.李劲峰（中山大学党委宣传部老师）</w:t>
      </w:r>
    </w:p>
    <w:p>
      <w:pPr>
        <w:spacing w:line="560" w:lineRule="exact"/>
        <w:rPr>
          <w:rFonts w:hint="eastAsia" w:asciiTheme="minorEastAsia" w:hAnsiTheme="minorEastAsia" w:cstheme="minorEastAsia"/>
          <w:bCs/>
          <w:sz w:val="24"/>
          <w:szCs w:val="24"/>
        </w:rPr>
      </w:pPr>
      <w:r>
        <w:rPr>
          <w:rFonts w:hint="eastAsia" w:asciiTheme="minorEastAsia" w:hAnsiTheme="minorEastAsia" w:cstheme="minorEastAsia"/>
          <w:bCs/>
          <w:sz w:val="24"/>
          <w:szCs w:val="24"/>
        </w:rPr>
        <w:t>李劲峰</w:t>
      </w:r>
      <w:r>
        <w:rPr>
          <w:rFonts w:hint="eastAsia" w:asciiTheme="minorEastAsia" w:hAnsiTheme="minorEastAsia" w:cstheme="minorEastAsia"/>
          <w:bCs/>
          <w:sz w:val="24"/>
          <w:szCs w:val="24"/>
          <w:lang w:eastAsia="zh-CN"/>
        </w:rPr>
        <w:t>，中</w:t>
      </w:r>
      <w:bookmarkStart w:id="0" w:name="_GoBack"/>
      <w:bookmarkEnd w:id="0"/>
      <w:r>
        <w:rPr>
          <w:rFonts w:hint="eastAsia" w:asciiTheme="minorEastAsia" w:hAnsiTheme="minorEastAsia" w:cstheme="minorEastAsia"/>
          <w:bCs/>
          <w:sz w:val="24"/>
          <w:szCs w:val="24"/>
        </w:rPr>
        <w:t>山大学党委宣传部网络宣传主管，负责中山大学官方微信订阅号、新浪微博新媒体运营管理。团队运营的中山大学微信订阅号继今年第二季度后，再次稳居广东省一本高校新媒体榜榜首。中山大学新浪微博被评为2016-2017年度优秀高校官方微博。</w:t>
      </w:r>
    </w:p>
    <w:p>
      <w:pPr>
        <w:spacing w:line="560" w:lineRule="exact"/>
        <w:rPr>
          <w:rFonts w:ascii="仿宋_GB2312" w:hAnsi="仿宋" w:eastAsia="仿宋_GB2312"/>
          <w:b/>
          <w:sz w:val="32"/>
          <w:szCs w:val="32"/>
        </w:rPr>
      </w:pPr>
      <w:r>
        <w:rPr>
          <w:rFonts w:hint="eastAsia" w:ascii="仿宋_GB2312" w:hAnsi="仿宋" w:eastAsia="仿宋_GB2312"/>
          <w:b/>
          <w:sz w:val="32"/>
          <w:szCs w:val="32"/>
        </w:rPr>
        <w:t>2.邹纯娓（“广东共青团”微信公众号副主编）</w:t>
      </w:r>
    </w:p>
    <w:p>
      <w:pPr>
        <w:spacing w:line="560" w:lineRule="exact"/>
        <w:rPr>
          <w:rFonts w:asciiTheme="minorEastAsia" w:hAnsiTheme="minorEastAsia" w:cstheme="minorEastAsia"/>
          <w:bCs/>
          <w:sz w:val="24"/>
          <w:szCs w:val="24"/>
        </w:rPr>
      </w:pPr>
      <w:r>
        <w:rPr>
          <w:rFonts w:hint="eastAsia" w:asciiTheme="minorEastAsia" w:hAnsiTheme="minorEastAsia" w:cstheme="minorEastAsia"/>
          <w:bCs/>
          <w:sz w:val="24"/>
          <w:szCs w:val="24"/>
        </w:rPr>
        <w:t>邹纯娓，“广东共青团”微信公众号副主编，曾任广东省学生联合会执行主席。运营“广东共青团”微信公众号3个月内增粉300万，在全省全领域公号影响力榜单中位列第一，全国政务榜单中稳定前三，全国全网榜单中稳定前十五，获广东十大最具影响力政务微信号、广东省政务新媒体十大优秀团队等。</w:t>
      </w:r>
    </w:p>
    <w:p>
      <w:pPr>
        <w:numPr>
          <w:ilvl w:val="0"/>
          <w:numId w:val="1"/>
        </w:numPr>
        <w:spacing w:line="560" w:lineRule="exact"/>
        <w:rPr>
          <w:rFonts w:ascii="仿宋_GB2312" w:hAnsi="仿宋" w:eastAsia="仿宋_GB2312"/>
          <w:b/>
          <w:sz w:val="32"/>
          <w:szCs w:val="32"/>
        </w:rPr>
      </w:pPr>
      <w:r>
        <w:rPr>
          <w:rFonts w:hint="eastAsia" w:ascii="仿宋_GB2312" w:hAnsi="仿宋" w:eastAsia="仿宋_GB2312"/>
          <w:b/>
          <w:sz w:val="32"/>
          <w:szCs w:val="32"/>
        </w:rPr>
        <w:t>张剑（中山大学图蜂影像团队）</w:t>
      </w:r>
    </w:p>
    <w:p>
      <w:pPr>
        <w:spacing w:line="560" w:lineRule="exact"/>
        <w:rPr>
          <w:rFonts w:ascii="仿宋_GB2312" w:hAnsi="仿宋" w:eastAsia="仿宋_GB2312"/>
          <w:b/>
          <w:sz w:val="32"/>
          <w:szCs w:val="32"/>
        </w:rPr>
      </w:pPr>
      <w:r>
        <w:rPr>
          <w:rFonts w:hint="eastAsia" w:asciiTheme="minorEastAsia" w:hAnsiTheme="minorEastAsia" w:cstheme="minorEastAsia"/>
          <w:bCs/>
          <w:sz w:val="24"/>
          <w:szCs w:val="24"/>
        </w:rPr>
        <w:t>张剑，中山大学软件工程大四学生，中山大学图蜂影像团队成员，擅长跨界。图蜂影像致力于提供标准化的活动影像服务和高品质的商用艺术影像，不断打磨“照片直播”、“视频直播”和“短视频快剪”三大标准化服务，并在业界率先实现将文字、短视频、照片直播和视频直播整合进一个链接的“全媒体直播”。此外，图蜂影像还从事专题片、TVC、网剧、电影等视频摄制工作。</w:t>
      </w:r>
    </w:p>
    <w:p>
      <w:pPr>
        <w:spacing w:line="560" w:lineRule="exact"/>
        <w:rPr>
          <w:rFonts w:ascii="仿宋_GB2312" w:hAnsi="仿宋" w:eastAsia="仿宋_GB2312"/>
          <w:b/>
          <w:sz w:val="32"/>
          <w:szCs w:val="32"/>
        </w:rPr>
      </w:pPr>
      <w:r>
        <w:rPr>
          <w:rFonts w:hint="eastAsia" w:ascii="仿宋_GB2312" w:hAnsi="仿宋" w:eastAsia="仿宋_GB2312"/>
          <w:b/>
          <w:sz w:val="32"/>
          <w:szCs w:val="32"/>
        </w:rPr>
        <w:t>4.叶前（新华通讯社广东分社副总编辑）</w:t>
      </w:r>
    </w:p>
    <w:p>
      <w:pPr>
        <w:spacing w:line="560" w:lineRule="exact"/>
        <w:rPr>
          <w:rFonts w:asciiTheme="minorEastAsia" w:hAnsiTheme="minorEastAsia" w:cstheme="minorEastAsia"/>
          <w:bCs/>
          <w:sz w:val="24"/>
          <w:szCs w:val="24"/>
        </w:rPr>
      </w:pPr>
      <w:r>
        <w:rPr>
          <w:rFonts w:hint="eastAsia" w:asciiTheme="minorEastAsia" w:hAnsiTheme="minorEastAsia" w:cstheme="minorEastAsia"/>
          <w:bCs/>
          <w:sz w:val="24"/>
          <w:szCs w:val="24"/>
        </w:rPr>
        <w:t>叶前，1985年出生，中山大学政治学硕士；主任记者、新华社广东分社副总编辑、融媒体实验室总监。曾获中国新闻奖二等奖，多次获广东省新闻奖一等奖、二等奖；2018年获评广东新闻界最高荣誉金枪奖。叶前参与过十九大、亚运会、大运会等重大事件报道，连续7年参加全国两会报道，还参加了乌坎事件、广州垃圾焚烧困局、广州增城大墩村骚乱事件、深圳滑坡等重大突发事件报道。因为理想，让新闻更好地抵达远方。</w:t>
      </w:r>
    </w:p>
    <w:p>
      <w:pPr>
        <w:rPr>
          <w:rFonts w:hint="eastAsia" w:asciiTheme="minorHAnsi" w:hAnsiTheme="minorHAnsi" w:eastAsiaTheme="minorEastAsia" w:cstheme="minorBidi"/>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00000000" w:usb1="00000000" w:usb2="00000016"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00000000" w:usb1="00000000" w:usb2="00000016" w:usb3="00000000" w:csb0="0004001F" w:csb1="00000000"/>
  </w:font>
  <w:font w:name="仿宋">
    <w:panose1 w:val="02010609060101010101"/>
    <w:charset w:val="86"/>
    <w:family w:val="modern"/>
    <w:pitch w:val="default"/>
    <w:sig w:usb0="00000000" w:usb1="00000000"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2BBCF"/>
    <w:multiLevelType w:val="singleLevel"/>
    <w:tmpl w:val="4F22BBCF"/>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jc w:val="left"/>
      <w:outlineLvl w:val="0"/>
    </w:pPr>
    <w:rPr>
      <w:rFonts w:ascii="仿宋" w:hAnsi="仿宋" w:eastAsia="仿宋"/>
      <w:b/>
      <w:sz w:val="36"/>
      <w:szCs w:val="36"/>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2018-11-13T03:09:00Z</dcterms:created>
  <dc:creator>莫念</dc:creator>
  <cp:lastModifiedBy>“莫妍雯”的 iPhone</cp:lastModifiedBy>
  <dcterms:modified xsi:type="dcterms:W3CDTF">2018-11-12T17:53:55Z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2052-8.8.0</vt:lpwstr>
  </property>
</Properties>
</file>