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历届“挑战杯”全国大学生课外学术科技作品竞赛哲学社会科学类获奖作品名单</w:t>
      </w:r>
    </w:p>
    <w:p>
      <w:pPr>
        <w:widowControl/>
        <w:jc w:val="center"/>
        <w:rPr>
          <w:rFonts w:ascii="黑体" w:hAnsi="宋体" w:eastAsia="黑体" w:cs="宋体"/>
          <w:b/>
          <w:bCs/>
          <w:color w:val="2A2A2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bCs/>
          <w:color w:val="2A2A2A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color w:val="2A2A2A"/>
          <w:kern w:val="0"/>
          <w:sz w:val="24"/>
          <w:szCs w:val="24"/>
        </w:rPr>
        <w:t>第十届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特等奖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渤海产业投资基金与中国转型期金融创新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毛乌素沙地南缘风沙滩区生态调查与研究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基于六县市调研的我国农户融资现状比较与改革研究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湖南煤矿工人心理安全感的影响因素及提升策略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让生命不再留守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自尊和心理控制源对留守儿童社会适应性影响的研究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诉讼之外的选择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大学生权利救济的进路分析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辽宁省高等教育顾客（学生）满意度指数模型研究及调查报告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城市治安综合治理的路径选择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广州火车站地区治安综合治理的经验及启示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一等奖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首都大学生对于“八荣八耻”价值观认知和评价的调查报告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我国应该推迟退休年龄吗？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最优退休年龄的福利分析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农业产业化组织载体的缺失与构建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江西省信丰县果业协会调研报告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常宁水口山矿产资源枯竭后产业转型战略研究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在“公交优先”原则下构建我国城市公交评价体系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中国农户收入增长与就业决策：一个新的动态解释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--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基于湖北农户调查的实证研究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京杭大运河现状、保护及申遗政策调查报告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农民工返乡创业与新农村建设：阜阳模式研究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新农村建设中的宗教现象透视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立足地区实际，协调城乡发展，统筹区域平衡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基于江苏省昆山、海门、铜山三地社会主义新农村建设的调查研究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低价中标与廉政建设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《厦门市建设工程经评审最低投标价中标》政策腐败治理效果评估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城市农民工就业歧视探究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一个过程的视角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谁来领跑新农村？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新农村视角下大学生村官及政策考量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多元文化背景下的滇藏边境聚落可持续发展调查研究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中国民间组织的生存发展状况研究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C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市“反扒同盟”为例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城市化进程下“黑车”现状调查分析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关于四川省双流县寺圣社区“黑车”市场的调查报告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一项坚持以人为本、落实科学发展观的民心工程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新型农村合作医疗制度在偏远地区实施情况的调查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村民自治视野下边远地区农村白族妇女的政治参与研究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以云南省大理白族自治州云龙县诺邓村为例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外来务工人员子女受教育权保障研究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来自苏南地区的调研报告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“感恩父母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点亮亲情”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关于大学生感恩亲情缺失的调查报告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我国大学毕业生创业失败的原因调查与对策研究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基于四川大学最近十年的实例分析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走向成长，走向和谐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我国东中西部普通高中学生成长需要研究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和谐共治理念下地方行业协会的职能扩展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对上海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203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家行业协会的实证研究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为流动人口孕产妇撑起生命保护伞</w:t>
      </w:r>
      <w:r>
        <w:rPr>
          <w:rFonts w:hint="eastAsia" w:ascii="宋体" w:hAnsi="宋体" w:cs="宋体"/>
          <w:bCs/>
          <w:color w:val="2A2A2A"/>
          <w:kern w:val="0"/>
          <w:sz w:val="24"/>
          <w:szCs w:val="24"/>
        </w:rPr>
        <w:t>――</w:t>
      </w:r>
      <w:r>
        <w:rPr>
          <w:rFonts w:hint="eastAsia" w:ascii="仿宋_GB2312" w:hAnsi="仿宋_GB2312" w:eastAsia="仿宋_GB2312" w:cs="仿宋_GB2312"/>
          <w:bCs/>
          <w:color w:val="2A2A2A"/>
          <w:kern w:val="0"/>
          <w:sz w:val="24"/>
          <w:szCs w:val="24"/>
        </w:rPr>
        <w:t>苏州市流动人口分娩定点限价政策调查报告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中药安全性现状调查与对策研究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“长株潭”地区农村五保户养老现状的调查与研究报告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--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公共服务和政府责任的视角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黑体" w:hAnsi="宋体" w:eastAsia="黑体" w:cs="宋体"/>
          <w:bCs/>
          <w:color w:val="2A2A2A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color w:val="2A2A2A"/>
          <w:kern w:val="0"/>
          <w:sz w:val="24"/>
          <w:szCs w:val="24"/>
        </w:rPr>
        <w:t>第十一届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特等奖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人民币指数期货期权定价研究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告别徊徨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待业大学生群体生存状态研究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基于上海的实证调查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大学生“村官”机制建设：基于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1260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个乡村实证调查研究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金融海啸背景下农民工就业问题及对策研究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28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个省区市的调查分析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小额贷款公司制度研究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以苍南联信小额贷款股份有限公司为例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中小型农田水利设施长效保障机制研究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基于粮食核心生产区（河南）的调查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广东省荔枝专业合作社发展状况调查报告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16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家荔枝专业合作社的实证分析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走进“傻根”们的心世界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关于江苏省苏南、苏北新生代农村进城务工青年价值观研究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丘陵地区农村土地流转：现状、问题及对策研究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基于对四川省射洪县的调查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现代农业背景下农民生产技能培训需求意愿及制约因素分析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基于宁波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511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个种养农户的调查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城市化进程中的失地农民安置模式探索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基于长沙市失地农民安置经验的思考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一等奖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基于生态气候适宜度的农用地集约利用评价研究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断裂与重塑：“村改居”后城郊新市民群体的身份认同研究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基于上海郊区的调查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人民币“区域货币锚”效应研究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基于一个博弈模型的分析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跨越两性界线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--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当代大学生性别角色发展现状、成因与引领研究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金融危机下应届本科毕业生就业问题报告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基于天津市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14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所高校的调查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发展与参与：解构城市新贫困社群福利供给的困局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基于湖南省长沙市新贫困社群的调研报告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决定经常账户合意水平的系统动态学观点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基于中国的理论模型构建与实证检验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城市化进程中，农转非居民“上楼致贫”现象探析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基于重庆市四典型社区的实证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基于巴彦县“参与式预算”模式的实证研究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大学生村官政策实施效用及管理对策反馈动态复杂性分析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基于循环经济理论的城市固体废弃物回收利用研究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我国高新技术企业自主创新能力的调查与测度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以“武汉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中国谷”高新技术企业为例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新疆边境农牧团场扶贫效果调查报告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旧城新补丁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基于“补丁”概念的绍兴蕺山历史街区保护与更新研究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“期货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+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订单”促生猪生产走出困境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旅游工程项目选择与管理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泰安宝龙酒店项目实证研究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技术措施保护绩效的实证分析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兼议《著作权法》第二次修改中的技术措施保护问题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大学生信用卡市场调查分析及产品创新设计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以武汉地区大学生信用卡市场为例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中国农村幼儿教育危机与对策的探究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新阶段三种扶贫模式在河南实践的调查研究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以信阳、驻马店、周口三市为例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农户借贷行为与二元金融联动影响关系的实证研究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基于中国东部、中部、西部千社万户的调查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“推拉理论”视角下农村剩余劳动力“双向转移”的制约因素及突破思路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基于河南省许昌县的调查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湖北省农村水体污染现状及治理对策研究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大学生网络学习行为的模型构建与调查研究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我国农村水污染受害者社会救助调查与思考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社会分化与城市底层群体的生存空间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基于对开封市人力三轮车夫生存现状的调查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上海城乡养老保险一体化研究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基于上海市松江区的实证分析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农村基层组织财务管理规范化调研报告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农民工市民化研究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基于社会贡献与社会成本视角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黑体" w:hAnsi="宋体" w:eastAsia="黑体" w:cs="宋体"/>
          <w:bCs/>
          <w:color w:val="2A2A2A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color w:val="2A2A2A"/>
          <w:kern w:val="0"/>
          <w:sz w:val="24"/>
          <w:szCs w:val="24"/>
        </w:rPr>
        <w:t>第十二届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特等奖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冲击我国城市化进程瓶颈的一项变革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基于重庆市户籍制度改革现状的调查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西藏无电区农牧民用电对策研究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基于对拉孜县新能源利用的实证分析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转型期大学生就业问题及其对策研究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基于全国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29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个省市自治区的调查分析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青春集合在军旗下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新时期大学生“从军热”动因调查及引导机制研究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农民利益是如何被损害的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资源开发中的利益博弈与利益失衡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特大自然灾害下救灾及灾后重建中人文精神的价值与作用研究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以“汶川大地震”为例的个案分析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城乡一体化进程中土地股份合作的制度演进与创新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以苏州市上林村为个案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乡土视野中的纠纷解决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以海安法院的疏导式庭审为样本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告别孤独：新生代农民工社会融合问题研究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--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基于全国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7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省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5547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个样本的实证调查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基于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GDP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的最低工资标准测算模型实证研究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以浙江省为例</w:t>
      </w:r>
    </w:p>
    <w:p>
      <w:pPr>
        <w:widowControl/>
        <w:jc w:val="left"/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科学发展与两型社会建设指导下发展有色金属循环产业研究与探索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以中国银都湖南永兴县为例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多民族地区宗教和谐发展研究</w:t>
      </w:r>
      <w:r>
        <w:rPr>
          <w:rFonts w:ascii="仿宋_GB2312" w:hAnsi="宋体" w:eastAsia="仿宋_GB2312" w:cs="宋体"/>
          <w:bCs/>
          <w:color w:val="2A2A2A"/>
          <w:kern w:val="0"/>
          <w:sz w:val="24"/>
          <w:szCs w:val="24"/>
        </w:rPr>
        <w:t>——</w:t>
      </w: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以四川省康定县炉城镇为例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</w:p>
    <w:p>
      <w:pPr>
        <w:pStyle w:val="5"/>
        <w:rPr>
          <w:rStyle w:val="7"/>
          <w:rFonts w:hint="eastAsia" w:ascii="黑体" w:hAnsi="黑体" w:eastAsia="黑体" w:cs="黑体"/>
          <w:b w:val="0"/>
          <w:bCs w:val="0"/>
        </w:rPr>
      </w:pPr>
      <w:r>
        <w:rPr>
          <w:rStyle w:val="7"/>
          <w:rFonts w:hint="eastAsia" w:ascii="黑体" w:hAnsi="黑体" w:eastAsia="黑体" w:cs="黑体"/>
          <w:b w:val="0"/>
          <w:bCs w:val="0"/>
        </w:rPr>
        <w:t>第十三届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特等奖</w:t>
      </w:r>
      <w:bookmarkStart w:id="0" w:name="_GoBack"/>
      <w:bookmarkEnd w:id="0"/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清华大学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《建设工程表见代理纠纷的审判方法和风险防范研究——基于全国230件案例的实证分析》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吉林大学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 xml:space="preserve">　　《封闭管制还是开放协商：社会管理新模式的实践与探索——以吉林省白山市吊水壶村为例》 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上海大学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《流浪儿童何以“流浪”——对新疆流浪儿童成因与对策研究》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东南大学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《中国慢性病防治“四位一体”管理模式的探索——基于南京九社区老年糖尿病患者的调查与服务实践》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南京师范大学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《推进我国教育公平的一项实实在在的工作——对南京市加强农民工子弟学校发展建设实践的调查研究》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苏州大学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《新型农村合作经济组织发展道路的探索——以苏州市湖桥村为例》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浙江大学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《一厢情愿到两情相悦：浙江省高校创业教育模式与发展路径》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安徽工业大学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《产业转移粘性是如何产生？——基于泛长三角地区百家企业的调查研究》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江西师范大学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《信用共同体“贷”动小微企业创富梦——江西省探索小微企业走出融资困境的调查报告》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河南工业大学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《新型职业农民培育：模式创新与政策考量——基于粮食主产区百村调研》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华中师范大学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《利益调整与制度变革：让新居民平等融入社区--对温州新居民社区融合的调查分析》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中山大学</w:t>
      </w:r>
    </w:p>
    <w:p>
      <w:pPr>
        <w:widowControl/>
        <w:jc w:val="left"/>
      </w:pPr>
      <w:r>
        <w:rPr>
          <w:rFonts w:hint="eastAsia" w:ascii="仿宋_GB2312" w:hAnsi="宋体" w:eastAsia="仿宋_GB2312" w:cs="宋体"/>
          <w:bCs/>
          <w:color w:val="2A2A2A"/>
          <w:kern w:val="0"/>
          <w:sz w:val="24"/>
          <w:szCs w:val="24"/>
        </w:rPr>
        <w:t>　　《中国非正规小微企业生存性与合法性研究——基于广东省8个集群1240家企业的案例调研》</w:t>
      </w: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683D"/>
    <w:rsid w:val="00013955"/>
    <w:rsid w:val="00037F7A"/>
    <w:rsid w:val="00040F44"/>
    <w:rsid w:val="00044E27"/>
    <w:rsid w:val="000611A3"/>
    <w:rsid w:val="000652A6"/>
    <w:rsid w:val="00081D27"/>
    <w:rsid w:val="000825B4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07B7"/>
    <w:rsid w:val="0038308E"/>
    <w:rsid w:val="00387E95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2C66"/>
    <w:rsid w:val="00462554"/>
    <w:rsid w:val="00470306"/>
    <w:rsid w:val="00471655"/>
    <w:rsid w:val="00490EF9"/>
    <w:rsid w:val="004A4423"/>
    <w:rsid w:val="004B675B"/>
    <w:rsid w:val="004B6B59"/>
    <w:rsid w:val="004B7055"/>
    <w:rsid w:val="004D0297"/>
    <w:rsid w:val="004D2871"/>
    <w:rsid w:val="004E34FD"/>
    <w:rsid w:val="004F2AF4"/>
    <w:rsid w:val="005032B7"/>
    <w:rsid w:val="005053E7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D38"/>
    <w:rsid w:val="009F1FAD"/>
    <w:rsid w:val="009F4B65"/>
    <w:rsid w:val="00A10734"/>
    <w:rsid w:val="00A3764D"/>
    <w:rsid w:val="00A550DA"/>
    <w:rsid w:val="00A629D4"/>
    <w:rsid w:val="00A653EC"/>
    <w:rsid w:val="00A743C4"/>
    <w:rsid w:val="00A83C5E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7AEB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B7827"/>
    <w:rsid w:val="00EC738F"/>
    <w:rsid w:val="00ED6E74"/>
    <w:rsid w:val="00EE06C7"/>
    <w:rsid w:val="00F12A4F"/>
    <w:rsid w:val="00F16D24"/>
    <w:rsid w:val="00F24FAD"/>
    <w:rsid w:val="00F2683D"/>
    <w:rsid w:val="00F34E71"/>
    <w:rsid w:val="00F42952"/>
    <w:rsid w:val="00F75517"/>
    <w:rsid w:val="00F93305"/>
    <w:rsid w:val="00FC7AB8"/>
    <w:rsid w:val="00FE02A8"/>
    <w:rsid w:val="00FE1671"/>
    <w:rsid w:val="00FE20B7"/>
    <w:rsid w:val="00FE53A9"/>
    <w:rsid w:val="00FE7D88"/>
    <w:rsid w:val="2492673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Hyperlink"/>
    <w:basedOn w:val="6"/>
    <w:uiPriority w:val="99"/>
    <w:rPr>
      <w:rFonts w:cs="Times New Roman"/>
      <w:color w:val="000000"/>
      <w:u w:val="none"/>
    </w:rPr>
  </w:style>
  <w:style w:type="table" w:styleId="10">
    <w:name w:val="Table Grid"/>
    <w:basedOn w:val="9"/>
    <w:uiPriority w:val="9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5">
    <w:name w:val="hl51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504</Words>
  <Characters>2873</Characters>
  <Lines>23</Lines>
  <Paragraphs>6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2011-04-16T03:58:00Z</dcterms:created>
  <dc:creator>Valued Acer Customer</dc:creator>
  <cp:lastModifiedBy>admin</cp:lastModifiedBy>
  <dcterms:modified xsi:type="dcterms:W3CDTF">2015-03-06T08:21:35Z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