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" w:eastAsia="仿宋_GB2312" w:cs="宋体"/>
          <w:sz w:val="28"/>
          <w:szCs w:val="28"/>
        </w:rPr>
      </w:pPr>
      <w:r>
        <w:rPr>
          <w:rFonts w:hint="eastAsia" w:ascii="仿宋_GB2312" w:hAnsi="仿宋" w:eastAsia="仿宋_GB2312" w:cs="黑体"/>
          <w:b/>
          <w:kern w:val="0"/>
          <w:sz w:val="44"/>
          <w:szCs w:val="44"/>
        </w:rPr>
        <w:t>中山大学“十佳”院（系）、中心、附属医院研究生会评优条例(试行)</w:t>
      </w:r>
    </w:p>
    <w:p>
      <w:pPr>
        <w:pStyle w:val="2"/>
        <w:spacing w:line="240" w:lineRule="auto"/>
        <w:ind w:firstLine="560"/>
        <w:jc w:val="both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hint="eastAsia" w:ascii="仿宋_GB2312" w:eastAsia="仿宋_GB2312" w:cs="宋体"/>
          <w:color w:val="auto"/>
          <w:sz w:val="28"/>
          <w:szCs w:val="28"/>
        </w:rPr>
        <w:t>中山大学院（系）、中心、附属医院研究生会是我校研究生会的重要组成部分；是校研究生会工作的一个窗口，作为基层平台直接反映着中大研究生会的工作风貌。为了充分发挥各基层研究生会的工作积极性、主动性和创造性，以便取长补短，相互促进；同时，把研究生工作逐步导入制度化、规范化的轨道，以便配合学校的发展需要，更好的为广大研究生服务。特制定本评优条例如下。</w:t>
      </w:r>
    </w:p>
    <w:p>
      <w:pPr>
        <w:ind w:firstLine="280" w:firstLineChars="100"/>
        <w:rPr>
          <w:rFonts w:ascii="仿宋_GB2312" w:hAnsi="仿宋" w:eastAsia="仿宋_GB2312" w:cs="宋体"/>
          <w:sz w:val="28"/>
          <w:szCs w:val="28"/>
        </w:rPr>
      </w:pPr>
      <w:r>
        <w:rPr>
          <w:rFonts w:hint="eastAsia" w:ascii="仿宋_GB2312" w:hAnsi="仿宋" w:eastAsia="仿宋_GB2312" w:cs="宋体"/>
          <w:sz w:val="28"/>
          <w:szCs w:val="28"/>
        </w:rPr>
        <w:t xml:space="preserve">  评优分为材料评比、现场展示两部分考核内容，两部分各占总分权重分别为50%、50%。</w:t>
      </w:r>
    </w:p>
    <w:p>
      <w:pPr>
        <w:pStyle w:val="2"/>
        <w:spacing w:line="240" w:lineRule="auto"/>
        <w:ind w:firstLine="560"/>
        <w:jc w:val="both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hint="eastAsia" w:ascii="仿宋_GB2312" w:eastAsia="仿宋_GB2312" w:cs="宋体"/>
          <w:color w:val="auto"/>
          <w:sz w:val="28"/>
          <w:szCs w:val="28"/>
        </w:rPr>
        <w:t>材料评比：由校研会常委评审小组根据各院系研究生会所提交的材料，从基本工作和年度工作两个方面打分；</w:t>
      </w:r>
    </w:p>
    <w:p>
      <w:pPr>
        <w:pStyle w:val="2"/>
        <w:spacing w:before="156" w:beforeLines="50" w:after="156" w:afterLines="50" w:line="240" w:lineRule="auto"/>
        <w:ind w:firstLine="560"/>
        <w:jc w:val="both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hint="eastAsia" w:ascii="仿宋_GB2312" w:eastAsia="仿宋_GB2312" w:cs="宋体"/>
          <w:color w:val="auto"/>
          <w:sz w:val="28"/>
          <w:szCs w:val="28"/>
        </w:rPr>
        <w:t>现场展示：由校研会常委评审小组和各院（系）评审小组就各院系研究生会评优现场展示打分，其中校研会常委评审小组占该部分成绩50%，各院（系）评审小组占该部分成绩50%。</w:t>
      </w:r>
    </w:p>
    <w:p>
      <w:pPr>
        <w:spacing w:before="156" w:beforeLines="50" w:after="156" w:afterLines="50"/>
        <w:ind w:firstLine="643" w:firstLineChars="200"/>
        <w:rPr>
          <w:rFonts w:ascii="仿宋_GB2312" w:hAnsi="仿宋" w:eastAsia="仿宋_GB2312" w:cs="宋体"/>
          <w:b/>
          <w:bCs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总分=材料评比得分*50%+现场展示得分*50%</w:t>
      </w:r>
    </w:p>
    <w:p>
      <w:pPr>
        <w:ind w:firstLine="560" w:firstLineChars="200"/>
        <w:jc w:val="left"/>
        <w:rPr>
          <w:rFonts w:ascii="仿宋_GB2312" w:hAnsi="仿宋" w:eastAsia="仿宋_GB2312" w:cs="宋体"/>
          <w:sz w:val="28"/>
          <w:szCs w:val="28"/>
        </w:rPr>
      </w:pPr>
      <w:r>
        <w:rPr>
          <w:rFonts w:hint="eastAsia" w:ascii="仿宋_GB2312" w:hAnsi="仿宋" w:eastAsia="仿宋_GB2312" w:cs="宋体"/>
          <w:sz w:val="28"/>
          <w:szCs w:val="28"/>
        </w:rPr>
        <w:t>注：以上所有电子版资料若未在规定时间内提交，将在评分过程中扣除一定的分数。若“材料评比”电子版未按时提交，将在最后的总分中扣除2分；若“现场展示材料”电子版未按时提交，将在最后的总分中扣除2分。</w:t>
      </w:r>
    </w:p>
    <w:p>
      <w:pPr>
        <w:rPr>
          <w:rFonts w:ascii="仿宋_GB2312" w:hAnsi="仿宋" w:eastAsia="仿宋_GB2312" w:cs="宋体"/>
          <w:b/>
          <w:sz w:val="32"/>
          <w:szCs w:val="28"/>
        </w:rPr>
      </w:pPr>
    </w:p>
    <w:p>
      <w:pPr>
        <w:jc w:val="center"/>
        <w:rPr>
          <w:rFonts w:ascii="仿宋_GB2312" w:hAnsi="仿宋" w:eastAsia="仿宋_GB2312" w:cs="宋体"/>
          <w:b/>
          <w:sz w:val="32"/>
          <w:szCs w:val="28"/>
        </w:rPr>
      </w:pPr>
      <w:r>
        <w:rPr>
          <w:rFonts w:hint="eastAsia" w:ascii="仿宋_GB2312" w:hAnsi="仿宋" w:eastAsia="仿宋_GB2312" w:cs="宋体"/>
          <w:b/>
          <w:sz w:val="32"/>
          <w:szCs w:val="28"/>
        </w:rPr>
        <w:t>评分细则及条例</w:t>
      </w:r>
    </w:p>
    <w:p>
      <w:pPr>
        <w:numPr>
          <w:ilvl w:val="0"/>
          <w:numId w:val="1"/>
        </w:numPr>
        <w:jc w:val="left"/>
        <w:rPr>
          <w:rFonts w:ascii="仿宋_GB2312" w:hAnsi="仿宋" w:eastAsia="仿宋_GB2312" w:cs="宋体"/>
          <w:b/>
          <w:sz w:val="32"/>
          <w:szCs w:val="28"/>
        </w:rPr>
      </w:pPr>
      <w:r>
        <w:rPr>
          <w:rFonts w:hint="eastAsia" w:ascii="仿宋_GB2312" w:hAnsi="仿宋" w:eastAsia="仿宋_GB2312" w:cs="宋体"/>
          <w:b/>
          <w:sz w:val="32"/>
          <w:szCs w:val="28"/>
        </w:rPr>
        <w:t>材料评比</w:t>
      </w:r>
    </w:p>
    <w:p>
      <w:pPr>
        <w:jc w:val="left"/>
        <w:rPr>
          <w:rFonts w:ascii="仿宋_GB2312" w:hAnsi="仿宋" w:eastAsia="仿宋_GB2312" w:cs="宋体"/>
          <w:b/>
          <w:sz w:val="32"/>
          <w:szCs w:val="28"/>
        </w:rPr>
      </w:pPr>
      <w:r>
        <w:rPr>
          <w:rFonts w:hint="eastAsia" w:ascii="仿宋_GB2312" w:hAnsi="仿宋" w:eastAsia="仿宋_GB2312" w:cs="宋体"/>
          <w:b/>
          <w:sz w:val="32"/>
          <w:szCs w:val="28"/>
        </w:rPr>
        <w:t>（一）基本工作</w:t>
      </w:r>
    </w:p>
    <w:p>
      <w:pPr>
        <w:pStyle w:val="2"/>
        <w:spacing w:line="240" w:lineRule="auto"/>
        <w:ind w:firstLine="560"/>
        <w:jc w:val="both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hint="eastAsia" w:ascii="仿宋_GB2312" w:eastAsia="仿宋_GB2312" w:cs="宋体"/>
          <w:color w:val="auto"/>
          <w:sz w:val="28"/>
          <w:szCs w:val="28"/>
        </w:rPr>
        <w:t>本部分考核包括四项内容（参会情况、活动参与、活动承办、推优情况），由校研会常委评审小组根据各院（系）的具体表现进行打分，打分依据是校研会对每个院（系）基本工作的考核，最终得分应为校研会常委评审小组的平均分（应去掉一个最高分和最低分）。该基本工作分数占材料评比的50%。</w:t>
      </w:r>
    </w:p>
    <w:p>
      <w:pPr>
        <w:pStyle w:val="2"/>
        <w:spacing w:line="240" w:lineRule="auto"/>
        <w:ind w:firstLine="560"/>
        <w:jc w:val="center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hint="eastAsia" w:ascii="仿宋_GB2312" w:eastAsia="仿宋_GB2312" w:cs="宋体"/>
          <w:color w:val="auto"/>
          <w:sz w:val="28"/>
          <w:szCs w:val="28"/>
        </w:rPr>
        <w:t>表1  基本工作评分细则</w:t>
      </w:r>
    </w:p>
    <w:tbl>
      <w:tblPr>
        <w:tblStyle w:val="8"/>
        <w:tblW w:w="97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3239"/>
        <w:gridCol w:w="3827"/>
        <w:gridCol w:w="1049"/>
        <w:gridCol w:w="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考 核 点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评分标准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分值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1.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参 会情 况</w:t>
            </w: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按时参加研究生院、校团委、校研究生会组织的各项工作会议，无迟到、无故缺席、早退现象。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对于研究生院、校团委、校研究生会组织的各项工作会议，无故缺席一次扣掉1分，扣完为止。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10分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2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2.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活 动参 与</w:t>
            </w: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积极参与研究生院、校团委、校研究生会组织的各项活动（院系篮球赛、</w:t>
            </w:r>
            <w:r>
              <w:rPr>
                <w:rFonts w:hint="eastAsia" w:ascii="仿宋_GB2312" w:hAnsi="仿宋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研艺之星、“星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海之声”合唱比赛活动）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eastAsia" w:ascii="仿宋_GB2312" w:hAnsi="仿宋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（1）院系每次参与研究生院、校团委、校研会组织的活动计10分，根据参与获奖情况，</w:t>
            </w:r>
            <w:r>
              <w:rPr>
                <w:rFonts w:hint="eastAsia" w:ascii="仿宋_GB2312" w:hAnsi="仿宋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特等奖/一等奖、二等奖、三等奖在此基础上分别加5分、3分、1分；</w:t>
            </w:r>
          </w:p>
          <w:p>
            <w:pPr>
              <w:widowControl/>
              <w:rPr>
                <w:rFonts w:hint="eastAsia"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（2）若同时参与了本校区与四校区举办的同一活动，按四校区获奖情况加分；若只参与了本校区活动，未参加四校区此活动，按三等奖加1分。</w:t>
            </w:r>
          </w:p>
          <w:p>
            <w:pPr>
              <w:widowControl/>
              <w:rPr>
                <w:rFonts w:hint="eastAsia"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（2）最高分不得超过40分。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40分</w:t>
            </w:r>
          </w:p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3.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活 动承 办</w:t>
            </w: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积极承办与组织校研究生会的学术、文体等活动。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（1）“百川交汇”活动计30分；</w:t>
            </w:r>
          </w:p>
          <w:p>
            <w:pPr>
              <w:widowControl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（2）</w:t>
            </w:r>
            <w:r>
              <w:rPr>
                <w:rFonts w:hint="eastAsia" w:ascii="仿宋_GB2312" w:hAnsi="仿宋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其他文体学术活动计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10分。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40分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8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4.</w:t>
            </w:r>
          </w:p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推 优情 况</w:t>
            </w:r>
          </w:p>
        </w:tc>
        <w:tc>
          <w:tcPr>
            <w:tcW w:w="32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院系积极推选校研究生会委员候选人、推荐优秀成员到校研究生会任职。</w:t>
            </w:r>
          </w:p>
        </w:tc>
        <w:tc>
          <w:tcPr>
            <w:tcW w:w="38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优            (10分)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8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</w:rPr>
            </w:pPr>
          </w:p>
        </w:tc>
        <w:tc>
          <w:tcPr>
            <w:tcW w:w="32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</w:rPr>
            </w:pPr>
          </w:p>
        </w:tc>
        <w:tc>
          <w:tcPr>
            <w:tcW w:w="38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良</w:t>
            </w:r>
          </w:p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（0分）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总分</w:t>
            </w: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100分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</w:tbl>
    <w:p>
      <w:pPr>
        <w:jc w:val="left"/>
        <w:rPr>
          <w:rFonts w:ascii="仿宋_GB2312" w:hAnsi="仿宋" w:eastAsia="仿宋_GB2312" w:cs="宋体"/>
          <w:b/>
          <w:sz w:val="32"/>
          <w:szCs w:val="28"/>
        </w:rPr>
      </w:pPr>
    </w:p>
    <w:p>
      <w:pPr>
        <w:jc w:val="left"/>
        <w:rPr>
          <w:rFonts w:ascii="仿宋_GB2312" w:hAnsi="仿宋" w:eastAsia="仿宋_GB2312" w:cs="宋体"/>
          <w:b/>
          <w:sz w:val="32"/>
          <w:szCs w:val="28"/>
        </w:rPr>
      </w:pPr>
      <w:r>
        <w:rPr>
          <w:rFonts w:hint="eastAsia" w:ascii="仿宋_GB2312" w:hAnsi="仿宋" w:eastAsia="仿宋_GB2312" w:cs="宋体"/>
          <w:b/>
          <w:sz w:val="32"/>
          <w:szCs w:val="28"/>
        </w:rPr>
        <w:t>（二）年度工作</w:t>
      </w:r>
    </w:p>
    <w:p>
      <w:pPr>
        <w:pStyle w:val="2"/>
        <w:spacing w:line="240" w:lineRule="auto"/>
        <w:ind w:firstLine="560"/>
        <w:jc w:val="both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hint="eastAsia" w:ascii="仿宋_GB2312" w:eastAsia="仿宋_GB2312" w:cs="宋体"/>
          <w:color w:val="auto"/>
          <w:sz w:val="28"/>
          <w:szCs w:val="28"/>
        </w:rPr>
        <w:t>本部分考核包括四项内容（内部建设、学术活动、文体活动、特色活动），但不包括第一部分基本工作中参与或承办的校研会活动。由校研会常委评审小组根据各院（系）的具体表现进行打分，打分依据是每个院（系）提交的工作材料，最终得分应为校研会常委评审小组的平均分（应去掉一个最高分和最低分）。该年度工作分数占材料评比</w:t>
      </w:r>
      <w:bookmarkStart w:id="0" w:name="_GoBack"/>
      <w:bookmarkEnd w:id="0"/>
      <w:r>
        <w:rPr>
          <w:rFonts w:hint="eastAsia" w:ascii="仿宋_GB2312" w:eastAsia="仿宋_GB2312" w:cs="宋体"/>
          <w:color w:val="auto"/>
          <w:sz w:val="28"/>
          <w:szCs w:val="28"/>
        </w:rPr>
        <w:t>的50%。</w:t>
      </w:r>
    </w:p>
    <w:p>
      <w:pPr>
        <w:pStyle w:val="2"/>
        <w:spacing w:line="240" w:lineRule="auto"/>
        <w:ind w:firstLine="560"/>
        <w:jc w:val="center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hint="eastAsia" w:ascii="仿宋_GB2312" w:eastAsia="仿宋_GB2312" w:cs="宋体"/>
          <w:color w:val="auto"/>
          <w:sz w:val="28"/>
          <w:szCs w:val="28"/>
        </w:rPr>
        <w:t>表</w:t>
      </w:r>
      <w:r>
        <w:rPr>
          <w:rFonts w:ascii="仿宋_GB2312" w:eastAsia="仿宋_GB2312" w:cs="宋体"/>
          <w:color w:val="auto"/>
          <w:sz w:val="28"/>
          <w:szCs w:val="28"/>
        </w:rPr>
        <w:t>2</w:t>
      </w:r>
      <w:r>
        <w:rPr>
          <w:rFonts w:hint="eastAsia" w:ascii="仿宋_GB2312" w:eastAsia="仿宋_GB2312" w:cs="宋体"/>
          <w:color w:val="auto"/>
          <w:sz w:val="28"/>
          <w:szCs w:val="28"/>
        </w:rPr>
        <w:t xml:space="preserve">  材料评比评分细则</w:t>
      </w:r>
    </w:p>
    <w:tbl>
      <w:tblPr>
        <w:tblStyle w:val="8"/>
        <w:tblW w:w="9600" w:type="dxa"/>
        <w:jc w:val="center"/>
        <w:tblInd w:w="-3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1136"/>
        <w:gridCol w:w="5321"/>
        <w:gridCol w:w="653"/>
        <w:gridCol w:w="567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一级指标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二级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指标</w:t>
            </w: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考 核 点</w:t>
            </w: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分值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终评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9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1.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内 部建 设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1.1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队 伍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建 设</w:t>
            </w: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</w:rPr>
              <w:t>（1）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研会班子健全，按期换届，民主选举领导班子，班子的民主生活和工作制度健全有效，实行集体领导和分工负责相结合的工作制度；(2分)</w:t>
            </w:r>
          </w:p>
        </w:tc>
        <w:tc>
          <w:tcPr>
            <w:tcW w:w="6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15分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</w:rPr>
              <w:t>（2）定期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举办</w:t>
            </w:r>
            <w:r>
              <w:rPr>
                <w:rFonts w:hint="eastAsia" w:ascii="仿宋_GB2312" w:hAnsi="仿宋" w:eastAsia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研究生会干部培训活动（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研讨会、素质拓展活动等形式）。一次计2分，记满3分为止；(3分)</w:t>
            </w:r>
          </w:p>
        </w:tc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18"/>
                <w:szCs w:val="18"/>
              </w:rPr>
              <w:t>有活动照片或者通讯稿等记录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</w:rPr>
              <w:t>（3）部门设置合理，分工明确，通力合作，有效完成任务。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(2分)</w:t>
            </w:r>
          </w:p>
        </w:tc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1.2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制 度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建 设</w:t>
            </w: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</w:rPr>
              <w:t>（1）定期召开工作例会（1分/次），并有年度工作总结大会（2分），记满3分为止；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(3分)</w:t>
            </w:r>
          </w:p>
        </w:tc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18"/>
                <w:szCs w:val="18"/>
              </w:rPr>
              <w:t>有书面和现场照片记录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</w:rPr>
              <w:t>（2）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根据实际制定</w:t>
            </w:r>
            <w:r>
              <w:rPr>
                <w:rFonts w:hint="eastAsia" w:ascii="仿宋_GB2312" w:hAnsi="仿宋" w:eastAsia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研会章程以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及工作、会议、奖惩、财务等相关制度，制度体系完善、合理，使各项工作都有章可循；(2分)</w:t>
            </w:r>
          </w:p>
        </w:tc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/>
                <w:kern w:val="0"/>
                <w:sz w:val="18"/>
                <w:szCs w:val="18"/>
              </w:rPr>
              <w:t>有研会活动章程作为附件材料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（3）建有院（系）研会的微信或微博公众号，并且定期推送信息；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(2分)</w:t>
            </w:r>
          </w:p>
        </w:tc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/>
                <w:kern w:val="0"/>
                <w:sz w:val="18"/>
                <w:szCs w:val="18"/>
              </w:rPr>
              <w:t>有链接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11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（4）</w:t>
            </w:r>
            <w:r>
              <w:rPr>
                <w:rFonts w:hint="eastAsia" w:ascii="仿宋_GB2312" w:hAnsi="仿宋" w:eastAsia="仿宋_GB2312"/>
                <w:bCs/>
                <w:kern w:val="0"/>
                <w:sz w:val="24"/>
              </w:rPr>
              <w:t>重视学生干部队伍建设，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制定评选标准及相关制度，开展</w:t>
            </w:r>
            <w:r>
              <w:rPr>
                <w:rFonts w:hint="eastAsia" w:ascii="仿宋_GB2312" w:hAnsi="仿宋" w:eastAsia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优秀学生干部的评选表彰工作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。(1分)</w:t>
            </w:r>
          </w:p>
        </w:tc>
        <w:tc>
          <w:tcPr>
            <w:tcW w:w="6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18"/>
              </w:rPr>
            </w:pPr>
            <w:r>
              <w:rPr>
                <w:rFonts w:hint="eastAsia" w:ascii="仿宋_GB2312" w:hAnsi="仿宋" w:eastAsia="仿宋_GB2312"/>
                <w:kern w:val="0"/>
                <w:sz w:val="18"/>
              </w:rPr>
              <w:t>有相关的证书或者活动现场照片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9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" w:eastAsia="仿宋_GB2312"/>
                <w:kern w:val="0"/>
                <w:sz w:val="24"/>
              </w:rPr>
            </w:pPr>
          </w:p>
          <w:p>
            <w:pPr>
              <w:rPr>
                <w:rFonts w:ascii="仿宋_GB2312" w:hAnsi="仿宋" w:eastAsia="仿宋_GB2312"/>
                <w:kern w:val="0"/>
                <w:sz w:val="24"/>
              </w:rPr>
            </w:pPr>
          </w:p>
          <w:p>
            <w:pPr>
              <w:rPr>
                <w:rFonts w:ascii="仿宋_GB2312" w:hAnsi="仿宋" w:eastAsia="仿宋_GB2312"/>
                <w:kern w:val="0"/>
                <w:sz w:val="24"/>
              </w:rPr>
            </w:pPr>
          </w:p>
          <w:p>
            <w:pPr>
              <w:rPr>
                <w:rFonts w:ascii="仿宋_GB2312" w:hAnsi="仿宋" w:eastAsia="仿宋_GB2312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2.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学 术活 动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2.1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活 动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主 旨</w:t>
            </w: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（1）举办活动切合学科特色，反映学科前沿动态和研究进展，有利于提高研究生的科研水平或扩宽研究生的知识面；(5分)</w:t>
            </w:r>
          </w:p>
        </w:tc>
        <w:tc>
          <w:tcPr>
            <w:tcW w:w="6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40分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  <w:jc w:val="center"/>
        </w:trPr>
        <w:tc>
          <w:tcPr>
            <w:tcW w:w="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2.2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活 动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数 量</w:t>
            </w: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（2）举办活动形式丰富多彩，如：学术讲座报告、学术沙龙、经验交流分享会、学术竞赛、成果展览等。</w:t>
            </w:r>
            <w:r>
              <w:rPr>
                <w:rFonts w:hint="eastAsia" w:ascii="仿宋_GB2312" w:hAnsi="仿宋" w:eastAsia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每次计2分，记满10分为止；(10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分)</w:t>
            </w:r>
          </w:p>
        </w:tc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18"/>
              </w:rPr>
              <w:t>现场活动照片或者通讯稿为依据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2.3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活 动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规 模</w:t>
            </w: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学术活动参与人数多，现场反响热烈。人数参与达到研究生比例80%以上(或60人以上)，5分/次；50%-79%(或30-60人)，3分/次；50%以下（30人以下），1分/次，记满10分为止；(10分)</w:t>
            </w:r>
          </w:p>
        </w:tc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18"/>
              </w:rPr>
            </w:pPr>
            <w:r>
              <w:rPr>
                <w:rFonts w:hint="eastAsia" w:ascii="仿宋_GB2312" w:hAnsi="仿宋" w:eastAsia="仿宋_GB2312"/>
                <w:kern w:val="0"/>
                <w:sz w:val="18"/>
              </w:rPr>
              <w:t>现场活动照片为依据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1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2.4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跨 院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系 交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流</w:t>
            </w: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积极和其他院系合办学术活动，促进学科及不同院系学生交流。每次记3分，记满5分为止；(5分)</w:t>
            </w:r>
          </w:p>
        </w:tc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18"/>
              </w:rPr>
            </w:pPr>
            <w:r>
              <w:rPr>
                <w:rFonts w:hint="eastAsia" w:ascii="仿宋_GB2312" w:hAnsi="仿宋" w:eastAsia="仿宋_GB2312"/>
                <w:kern w:val="0"/>
                <w:sz w:val="18"/>
              </w:rPr>
              <w:t>有宣传海报、PPT、通讯稿等说明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1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2.5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活 动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宣 传</w:t>
            </w: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每次学术活动有相应的微信或者微博公共号等活动推送通知，每次计1分，记满5分为止；(5分)</w:t>
            </w:r>
          </w:p>
        </w:tc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18"/>
              </w:rPr>
            </w:pPr>
            <w:r>
              <w:rPr>
                <w:rFonts w:hint="eastAsia" w:ascii="仿宋_GB2312" w:hAnsi="仿宋" w:eastAsia="仿宋_GB2312"/>
                <w:kern w:val="0"/>
                <w:sz w:val="18"/>
              </w:rPr>
              <w:t>微信推送或通讯稿截图说明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1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在国家、省（市）、校、</w:t>
            </w:r>
            <w:r>
              <w:rPr>
                <w:rFonts w:hint="eastAsia" w:ascii="仿宋_GB2312" w:hAnsi="仿宋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院级媒体上报道每篇分别计5、3、2、1，记满5</w:t>
            </w:r>
            <w:r>
              <w:rPr>
                <w:rFonts w:hint="eastAsia" w:ascii="仿宋_GB2312" w:hAnsi="仿宋" w:eastAsia="仿宋_GB2312"/>
                <w:sz w:val="24"/>
              </w:rPr>
              <w:t>分为止。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(5分)</w:t>
            </w:r>
          </w:p>
        </w:tc>
        <w:tc>
          <w:tcPr>
            <w:tcW w:w="6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9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3.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文 体活 动</w:t>
            </w:r>
          </w:p>
          <w:p>
            <w:pPr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3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.1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文 娱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活 动</w:t>
            </w: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（1）积极组织开展院（系）内各种类型文娱活动。2分/次，记满4分为止；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(4分)</w:t>
            </w:r>
          </w:p>
        </w:tc>
        <w:tc>
          <w:tcPr>
            <w:tcW w:w="6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</w:rPr>
              <w:t>20分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18"/>
              </w:rPr>
              <w:t>现场活动照片或者通讯稿为依据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（2）积极参加或组织跨院（系）的各种类型文娱活动。2分/次，记满4分为止；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(4分)</w:t>
            </w:r>
          </w:p>
        </w:tc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（3）院（系）或者学生代表获得国家、省（市）、校、院级表彰分别计2分、1.5分、1分、0.5分，记满2分为止。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(2分)</w:t>
            </w:r>
          </w:p>
        </w:tc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18"/>
              </w:rPr>
              <w:t>有获奖证书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11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3.2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体 育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活 动</w:t>
            </w:r>
          </w:p>
          <w:p>
            <w:pPr>
              <w:widowControl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（1）积极组织开展院（系）内各种类型体育活动。2分/次，记满4分为止；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(4分)</w:t>
            </w:r>
          </w:p>
        </w:tc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18"/>
              </w:rPr>
              <w:t>现场活动照片或者通讯稿为依据</w:t>
            </w:r>
          </w:p>
          <w:p>
            <w:pPr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（2）积极参加或组织跨院（系）的各种类型体育竞赛活动。2分/次，记满4分为止；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(4分)</w:t>
            </w:r>
          </w:p>
        </w:tc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11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（3）院（系）或者学生代表获得国家、省（市）、校、院级表彰分别计2分、1.5分、1分、0.5分/次，记满2分为止。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(2分)</w:t>
            </w:r>
          </w:p>
        </w:tc>
        <w:tc>
          <w:tcPr>
            <w:tcW w:w="6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18"/>
              </w:rPr>
              <w:t>有获奖证书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9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4.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特 色活 动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11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4.1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社 会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实 践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活 动</w:t>
            </w: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积极组织学生参与社会实践类活动，可包括社会调研、就业培训、实地参观等等。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(5分)</w:t>
            </w:r>
          </w:p>
        </w:tc>
        <w:tc>
          <w:tcPr>
            <w:tcW w:w="6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</w:rPr>
              <w:t>25分</w:t>
            </w:r>
          </w:p>
          <w:p>
            <w:pPr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  <w:b/>
                <w:bCs/>
                <w:kern w:val="0"/>
                <w:sz w:val="18"/>
              </w:rPr>
            </w:pPr>
            <w:r>
              <w:rPr>
                <w:rFonts w:hint="eastAsia" w:ascii="仿宋_GB2312" w:hAnsi="仿宋" w:eastAsia="仿宋_GB2312"/>
                <w:b/>
                <w:bCs/>
                <w:kern w:val="0"/>
                <w:sz w:val="18"/>
              </w:rPr>
              <w:t>学术文体类活动除外；</w:t>
            </w:r>
          </w:p>
          <w:p>
            <w:pPr>
              <w:widowControl/>
              <w:rPr>
                <w:rFonts w:ascii="仿宋_GB2312" w:hAnsi="仿宋" w:eastAsia="仿宋_GB2312"/>
                <w:b/>
                <w:bCs/>
                <w:kern w:val="0"/>
                <w:sz w:val="18"/>
              </w:rPr>
            </w:pPr>
          </w:p>
          <w:p>
            <w:pPr>
              <w:widowControl/>
              <w:rPr>
                <w:rFonts w:ascii="仿宋_GB2312" w:hAnsi="仿宋" w:eastAsia="仿宋_GB2312"/>
                <w:b/>
                <w:bCs/>
                <w:kern w:val="0"/>
                <w:sz w:val="18"/>
              </w:rPr>
            </w:pPr>
            <w:r>
              <w:rPr>
                <w:rFonts w:hint="eastAsia" w:ascii="仿宋_GB2312" w:hAnsi="仿宋" w:eastAsia="仿宋_GB2312"/>
                <w:b/>
                <w:bCs/>
                <w:kern w:val="0"/>
                <w:sz w:val="18"/>
              </w:rPr>
              <w:t>本部分</w:t>
            </w:r>
            <w:r>
              <w:rPr>
                <w:rFonts w:ascii="仿宋_GB2312" w:hAnsi="仿宋" w:eastAsia="仿宋_GB2312"/>
                <w:b/>
                <w:bCs/>
                <w:kern w:val="0"/>
                <w:sz w:val="18"/>
              </w:rPr>
              <w:t>满分</w:t>
            </w:r>
            <w:r>
              <w:rPr>
                <w:rFonts w:hint="eastAsia" w:ascii="仿宋_GB2312" w:hAnsi="仿宋" w:eastAsia="仿宋_GB2312"/>
                <w:b/>
                <w:bCs/>
                <w:kern w:val="0"/>
                <w:sz w:val="18"/>
              </w:rPr>
              <w:t>25分</w:t>
            </w:r>
            <w:r>
              <w:rPr>
                <w:rFonts w:ascii="仿宋_GB2312" w:hAnsi="仿宋" w:eastAsia="仿宋_GB2312"/>
                <w:b/>
                <w:bCs/>
                <w:kern w:val="0"/>
                <w:sz w:val="18"/>
              </w:rPr>
              <w:t>；</w:t>
            </w:r>
          </w:p>
          <w:p>
            <w:pPr>
              <w:widowControl/>
              <w:rPr>
                <w:rFonts w:ascii="仿宋_GB2312" w:hAnsi="仿宋" w:eastAsia="仿宋_GB2312"/>
                <w:b/>
                <w:bCs/>
                <w:kern w:val="0"/>
                <w:sz w:val="18"/>
              </w:rPr>
            </w:pPr>
          </w:p>
          <w:p>
            <w:pPr>
              <w:widowControl/>
              <w:rPr>
                <w:rFonts w:ascii="仿宋_GB2312" w:hAnsi="仿宋" w:eastAsia="仿宋_GB2312"/>
                <w:b/>
                <w:bCs/>
                <w:kern w:val="0"/>
                <w:sz w:val="18"/>
              </w:rPr>
            </w:pPr>
            <w:r>
              <w:rPr>
                <w:rFonts w:hint="eastAsia" w:ascii="仿宋_GB2312" w:hAnsi="仿宋" w:eastAsia="仿宋_GB2312"/>
                <w:b/>
                <w:bCs/>
                <w:kern w:val="0"/>
                <w:sz w:val="18"/>
              </w:rPr>
              <w:t>活动材料以照片、新闻稿截图为据；</w:t>
            </w:r>
          </w:p>
          <w:p>
            <w:pPr>
              <w:widowControl/>
              <w:rPr>
                <w:rFonts w:ascii="仿宋_GB2312" w:hAnsi="仿宋" w:eastAsia="仿宋_GB2312"/>
                <w:b/>
                <w:bCs/>
                <w:kern w:val="0"/>
                <w:sz w:val="18"/>
              </w:rPr>
            </w:pPr>
          </w:p>
          <w:p>
            <w:pPr>
              <w:widowControl/>
              <w:rPr>
                <w:rFonts w:ascii="仿宋_GB2312" w:hAnsi="仿宋" w:eastAsia="仿宋_GB2312"/>
                <w:b/>
                <w:bCs/>
                <w:kern w:val="0"/>
                <w:sz w:val="18"/>
              </w:rPr>
            </w:pPr>
            <w:r>
              <w:rPr>
                <w:rFonts w:hint="eastAsia" w:ascii="仿宋_GB2312" w:hAnsi="仿宋" w:eastAsia="仿宋_GB2312"/>
                <w:b/>
                <w:bCs/>
                <w:kern w:val="0"/>
                <w:sz w:val="18"/>
              </w:rPr>
              <w:t>评委</w:t>
            </w:r>
            <w:r>
              <w:rPr>
                <w:rFonts w:ascii="仿宋_GB2312" w:hAnsi="仿宋" w:eastAsia="仿宋_GB2312"/>
                <w:b/>
                <w:bCs/>
                <w:kern w:val="0"/>
                <w:sz w:val="18"/>
              </w:rPr>
              <w:t>应</w:t>
            </w:r>
            <w:r>
              <w:rPr>
                <w:rFonts w:hint="eastAsia" w:ascii="仿宋_GB2312" w:hAnsi="仿宋" w:eastAsia="仿宋_GB2312"/>
                <w:b/>
                <w:bCs/>
                <w:kern w:val="0"/>
                <w:sz w:val="18"/>
              </w:rPr>
              <w:t>以活动反响、活动规模进行打分。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11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4.2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公 益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类活动</w:t>
            </w: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积极组织学生参与公益志愿活动，活动影响大，受到服务单位好评或书面表扬，被社会媒体所关注报道。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(5分)</w:t>
            </w:r>
          </w:p>
        </w:tc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8" w:hRule="atLeast"/>
          <w:jc w:val="center"/>
        </w:trPr>
        <w:tc>
          <w:tcPr>
            <w:tcW w:w="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11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4.3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素 质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拓 展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类活动</w:t>
            </w: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积极参加或者组织院系（跨院系）研究生素质拓展活动，活动设计新颖，活动参与率高，反响好。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(5分)</w:t>
            </w:r>
          </w:p>
        </w:tc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9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11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4.4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品 牌</w:t>
            </w:r>
          </w:p>
          <w:p>
            <w:pPr>
              <w:widowControl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活 动</w:t>
            </w: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院（系）研会具有特色品牌 活动，学生参与面广，影响大，为学校赢得荣誉。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>(10分)</w:t>
            </w:r>
          </w:p>
        </w:tc>
        <w:tc>
          <w:tcPr>
            <w:tcW w:w="6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  <w:shd w:val="pct10" w:color="auto" w:fill="FFFFFF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</w:rPr>
              <w:t>合计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5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bCs/>
                <w:kern w:val="0"/>
                <w:sz w:val="24"/>
              </w:rPr>
              <w:t>100分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  <w:shd w:val="pct10" w:color="auto" w:fill="FFFFFF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/>
                <w:bCs/>
                <w:kern w:val="0"/>
                <w:sz w:val="24"/>
                <w:shd w:val="pct10" w:color="auto" w:fill="FFFFFF"/>
              </w:rPr>
            </w:pPr>
          </w:p>
        </w:tc>
      </w:tr>
    </w:tbl>
    <w:p>
      <w:pPr>
        <w:jc w:val="left"/>
        <w:rPr>
          <w:rFonts w:ascii="仿宋_GB2312" w:hAnsi="仿宋" w:eastAsia="仿宋_GB2312" w:cs="宋体"/>
          <w:b/>
          <w:sz w:val="32"/>
          <w:szCs w:val="28"/>
        </w:rPr>
      </w:pPr>
    </w:p>
    <w:p>
      <w:pPr>
        <w:jc w:val="left"/>
        <w:rPr>
          <w:rFonts w:ascii="仿宋_GB2312" w:hAnsi="仿宋" w:eastAsia="仿宋_GB2312" w:cs="宋体"/>
          <w:b/>
          <w:sz w:val="32"/>
          <w:szCs w:val="28"/>
        </w:rPr>
      </w:pPr>
      <w:r>
        <w:rPr>
          <w:rFonts w:hint="eastAsia" w:ascii="仿宋_GB2312" w:hAnsi="仿宋" w:eastAsia="仿宋_GB2312" w:cs="宋体"/>
          <w:b/>
          <w:sz w:val="32"/>
          <w:szCs w:val="28"/>
        </w:rPr>
        <w:t>二、现场展示</w:t>
      </w:r>
    </w:p>
    <w:p>
      <w:pPr>
        <w:pStyle w:val="2"/>
        <w:spacing w:line="240" w:lineRule="auto"/>
        <w:ind w:firstLine="560"/>
        <w:jc w:val="both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hint="eastAsia" w:ascii="仿宋_GB2312" w:eastAsia="仿宋_GB2312" w:cs="宋体"/>
          <w:color w:val="auto"/>
          <w:sz w:val="28"/>
          <w:szCs w:val="28"/>
        </w:rPr>
        <w:t>本部分考核包括四项内容（精神风貌、陈述表现、主题展示、提问环节），由校研会常委评审小组和各院(系)评审小组根据各院（系）的具体表现进行打分，打分依据是每个院（系）评优现场的展示材料。其中校研会常委评审小组占该部分成绩50%，各院（系）评审小组占该部分成绩50%。最终得分=校研会常委评审小组平均分*50%+各院（系）评审小组的平均分*50%（平均分应去掉一个最高分和最低分）。该现场展示分数占总分的50%。</w:t>
      </w:r>
    </w:p>
    <w:p>
      <w:pPr>
        <w:pStyle w:val="2"/>
        <w:spacing w:line="240" w:lineRule="auto"/>
        <w:ind w:firstLine="560"/>
        <w:jc w:val="both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hint="eastAsia" w:ascii="仿宋_GB2312" w:eastAsia="仿宋_GB2312" w:cs="宋体"/>
          <w:sz w:val="28"/>
          <w:szCs w:val="28"/>
        </w:rPr>
        <w:t>说明：</w:t>
      </w:r>
    </w:p>
    <w:p>
      <w:pPr>
        <w:pStyle w:val="3"/>
        <w:spacing w:line="240" w:lineRule="auto"/>
        <w:rPr>
          <w:rFonts w:ascii="仿宋_GB2312" w:hAnsi="仿宋" w:eastAsia="仿宋_GB2312" w:cs="宋体"/>
          <w:sz w:val="28"/>
          <w:szCs w:val="28"/>
        </w:rPr>
      </w:pPr>
      <w:r>
        <w:rPr>
          <w:rFonts w:hint="eastAsia" w:ascii="仿宋_GB2312" w:hAnsi="仿宋" w:eastAsia="仿宋_GB2312" w:cs="宋体"/>
          <w:sz w:val="28"/>
          <w:szCs w:val="28"/>
        </w:rPr>
        <w:t>1、现场展示材料可以是PPT或视频，展示时间为6</w:t>
      </w:r>
      <w:r>
        <w:rPr>
          <w:rFonts w:hint="eastAsia" w:ascii="仿宋_GB2312" w:hAnsi="仿宋" w:eastAsia="仿宋_GB2312" w:cs="宋体"/>
          <w:sz w:val="28"/>
          <w:szCs w:val="28"/>
          <w:lang w:eastAsia="zh-CN"/>
        </w:rPr>
        <w:t>分钟</w:t>
      </w:r>
      <w:r>
        <w:rPr>
          <w:rFonts w:hint="eastAsia" w:ascii="仿宋_GB2312" w:hAnsi="仿宋" w:eastAsia="仿宋_GB2312" w:cs="宋体"/>
          <w:sz w:val="28"/>
          <w:szCs w:val="28"/>
        </w:rPr>
        <w:t>；</w:t>
      </w:r>
    </w:p>
    <w:p>
      <w:pPr>
        <w:pStyle w:val="3"/>
        <w:spacing w:line="240" w:lineRule="auto"/>
        <w:rPr>
          <w:rFonts w:ascii="仿宋_GB2312" w:hAnsi="仿宋" w:eastAsia="仿宋_GB2312" w:cs="宋体"/>
          <w:sz w:val="28"/>
          <w:szCs w:val="28"/>
        </w:rPr>
      </w:pPr>
      <w:r>
        <w:rPr>
          <w:rFonts w:hint="eastAsia" w:ascii="仿宋_GB2312" w:hAnsi="仿宋" w:eastAsia="仿宋_GB2312" w:cs="宋体"/>
          <w:sz w:val="28"/>
          <w:szCs w:val="28"/>
        </w:rPr>
        <w:t>2、在做口头陈述时请注意掌握时间，每超时1分钟将在该现场展示总分中扣除2分。</w:t>
      </w:r>
    </w:p>
    <w:p>
      <w:pPr>
        <w:pStyle w:val="2"/>
        <w:spacing w:line="240" w:lineRule="auto"/>
        <w:ind w:firstLine="560"/>
        <w:jc w:val="center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hint="eastAsia" w:ascii="仿宋_GB2312" w:eastAsia="仿宋_GB2312" w:cs="宋体"/>
          <w:color w:val="auto"/>
          <w:sz w:val="28"/>
          <w:szCs w:val="28"/>
        </w:rPr>
        <w:t>表3  现场展示评分细则</w:t>
      </w:r>
    </w:p>
    <w:tbl>
      <w:tblPr>
        <w:tblStyle w:val="8"/>
        <w:tblW w:w="9702" w:type="dxa"/>
        <w:jc w:val="center"/>
        <w:tblInd w:w="-6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6477"/>
        <w:gridCol w:w="1177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6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考 核 点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 xml:space="preserve">  分值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1.</w:t>
            </w:r>
          </w:p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精 神风 貌</w:t>
            </w:r>
          </w:p>
        </w:tc>
        <w:tc>
          <w:tcPr>
            <w:tcW w:w="6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2"/>
              </w:numPr>
              <w:ind w:firstLineChars="0"/>
              <w:jc w:val="left"/>
              <w:rPr>
                <w:rFonts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衣着发型整洁、大方得体；举止自然，表情真诚，具有良好的个人气质；（5分）</w:t>
            </w:r>
          </w:p>
          <w:p>
            <w:pPr>
              <w:pStyle w:val="9"/>
              <w:numPr>
                <w:ilvl w:val="0"/>
                <w:numId w:val="2"/>
              </w:numPr>
              <w:ind w:firstLineChars="0"/>
              <w:jc w:val="left"/>
              <w:rPr>
                <w:rFonts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精神饱满，充分体现当代学生朝气蓬勃的精神风 貌和院系研究生会形象。（5分）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10分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9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2.</w:t>
            </w:r>
          </w:p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陈 述表 现</w:t>
            </w:r>
          </w:p>
        </w:tc>
        <w:tc>
          <w:tcPr>
            <w:tcW w:w="64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语言组织流畅，措辞准确；（10分）</w:t>
            </w:r>
          </w:p>
          <w:p>
            <w:pPr>
              <w:pStyle w:val="9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声音洪亮，口齿清晰，语速语调适中；肢体语言恰当，具有感染力。（10分）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20分</w:t>
            </w:r>
          </w:p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3.</w:t>
            </w:r>
          </w:p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主 题展 示</w:t>
            </w:r>
          </w:p>
        </w:tc>
        <w:tc>
          <w:tcPr>
            <w:tcW w:w="6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4"/>
              </w:numPr>
              <w:ind w:firstLineChars="0"/>
              <w:jc w:val="left"/>
              <w:rPr>
                <w:rFonts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展示材料内容丰富详实，形式多样，构思巧妙，富有创意；（10分）</w:t>
            </w:r>
          </w:p>
          <w:p>
            <w:pPr>
              <w:pStyle w:val="9"/>
              <w:numPr>
                <w:ilvl w:val="0"/>
                <w:numId w:val="4"/>
              </w:numPr>
              <w:ind w:firstLineChars="0"/>
              <w:jc w:val="left"/>
              <w:rPr>
                <w:rFonts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整体布局、字体大小、图案设置及色彩搭配协调合理，制作精良，可视性强；（10分）</w:t>
            </w:r>
          </w:p>
          <w:p>
            <w:pPr>
              <w:pStyle w:val="9"/>
              <w:numPr>
                <w:ilvl w:val="0"/>
                <w:numId w:val="4"/>
              </w:numPr>
              <w:ind w:firstLineChars="0"/>
              <w:jc w:val="left"/>
              <w:rPr>
                <w:rFonts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对院（系）研究生会的展示过程陈述完整、精炼，内容层次分明、重点突出；（20分）</w:t>
            </w:r>
          </w:p>
          <w:p>
            <w:pPr>
              <w:pStyle w:val="9"/>
              <w:numPr>
                <w:ilvl w:val="0"/>
                <w:numId w:val="4"/>
              </w:numPr>
              <w:ind w:firstLineChars="0"/>
              <w:jc w:val="left"/>
              <w:rPr>
                <w:rFonts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展示材料显示内容与陈述内容形成有效互补，相得益彰。（10分）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50分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6" w:hRule="atLeast"/>
          <w:jc w:val="center"/>
        </w:trPr>
        <w:tc>
          <w:tcPr>
            <w:tcW w:w="9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4.</w:t>
            </w:r>
          </w:p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提 问环 节</w:t>
            </w:r>
          </w:p>
        </w:tc>
        <w:tc>
          <w:tcPr>
            <w:tcW w:w="64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5"/>
              </w:numPr>
              <w:ind w:firstLineChars="0"/>
              <w:jc w:val="left"/>
              <w:rPr>
                <w:rFonts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能准确理解、把握问题的要点。回答内容切合题意，真实可信，论述有说服力；（10分）</w:t>
            </w:r>
          </w:p>
          <w:p>
            <w:pPr>
              <w:pStyle w:val="9"/>
              <w:numPr>
                <w:ilvl w:val="0"/>
                <w:numId w:val="5"/>
              </w:numPr>
              <w:ind w:firstLineChars="0"/>
              <w:jc w:val="left"/>
              <w:rPr>
                <w:rFonts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能够有针对性地就提问要点进行归纳阐述，言语准确，条理清晰，结论明确；（10分）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20分</w:t>
            </w:r>
          </w:p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总分</w:t>
            </w:r>
          </w:p>
        </w:tc>
        <w:tc>
          <w:tcPr>
            <w:tcW w:w="6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100分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</w:tbl>
    <w:p>
      <w:pPr>
        <w:pStyle w:val="2"/>
        <w:spacing w:before="156" w:beforeLines="50" w:after="156" w:afterLines="50" w:line="240" w:lineRule="auto"/>
        <w:ind w:firstLine="0" w:firstLineChars="0"/>
        <w:jc w:val="both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hint="eastAsia" w:ascii="仿宋_GB2312" w:eastAsia="仿宋_GB2312" w:cs="宋体"/>
          <w:b/>
          <w:bCs/>
          <w:color w:val="auto"/>
        </w:rPr>
        <w:t>备注：</w:t>
      </w:r>
      <w:r>
        <w:rPr>
          <w:rFonts w:hint="eastAsia" w:ascii="仿宋_GB2312" w:eastAsia="仿宋_GB2312" w:cs="宋体"/>
          <w:color w:val="auto"/>
          <w:sz w:val="28"/>
          <w:szCs w:val="28"/>
        </w:rPr>
        <w:t>任何院（系）研究生会出现以下重大违纪事故，由院系或个人举报，经校研会常委评审小组认定，将被取消“十佳院（系）研究生会”评选资格：</w:t>
      </w:r>
    </w:p>
    <w:p>
      <w:pPr>
        <w:pStyle w:val="2"/>
        <w:spacing w:line="240" w:lineRule="auto"/>
        <w:ind w:firstLine="560"/>
        <w:jc w:val="both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hint="eastAsia" w:ascii="仿宋_GB2312" w:eastAsia="仿宋_GB2312" w:cs="宋体"/>
          <w:color w:val="auto"/>
          <w:sz w:val="28"/>
          <w:szCs w:val="28"/>
        </w:rPr>
        <w:t>1、违反校党委、团委相关精神，故意隐瞒或不及时汇报院（系）研究生会中发生的具有重大负面影响的事件；</w:t>
      </w:r>
    </w:p>
    <w:p>
      <w:pPr>
        <w:pStyle w:val="2"/>
        <w:spacing w:line="240" w:lineRule="auto"/>
        <w:ind w:firstLine="560"/>
        <w:jc w:val="both"/>
        <w:rPr>
          <w:rFonts w:ascii="仿宋_GB2312" w:eastAsia="仿宋_GB2312" w:cs="宋体"/>
          <w:color w:val="auto"/>
          <w:sz w:val="28"/>
          <w:szCs w:val="28"/>
        </w:rPr>
      </w:pPr>
      <w:r>
        <w:rPr>
          <w:rFonts w:hint="eastAsia" w:ascii="仿宋_GB2312" w:eastAsia="仿宋_GB2312" w:cs="宋体"/>
          <w:color w:val="auto"/>
          <w:sz w:val="28"/>
          <w:szCs w:val="28"/>
        </w:rPr>
        <w:t>2、出现重大工作失误，造成学生群体骚动、损害本校形象、重大物资损失或人员伤亡等严重后果；</w:t>
      </w:r>
    </w:p>
    <w:p>
      <w:pPr>
        <w:pStyle w:val="2"/>
        <w:spacing w:line="240" w:lineRule="auto"/>
        <w:ind w:firstLine="560"/>
        <w:jc w:val="both"/>
        <w:rPr>
          <w:rFonts w:ascii="仿宋_GB2312" w:eastAsia="仿宋_GB2312" w:cs="宋体"/>
          <w:color w:val="auto"/>
          <w:kern w:val="0"/>
          <w:sz w:val="28"/>
        </w:rPr>
      </w:pPr>
      <w:r>
        <w:rPr>
          <w:rFonts w:hint="eastAsia" w:ascii="仿宋_GB2312" w:eastAsia="仿宋_GB2312" w:cs="宋体"/>
          <w:color w:val="auto"/>
          <w:sz w:val="28"/>
          <w:szCs w:val="28"/>
        </w:rPr>
        <w:t>3、</w:t>
      </w:r>
      <w:r>
        <w:rPr>
          <w:rFonts w:hint="eastAsia" w:ascii="仿宋_GB2312" w:eastAsia="仿宋_GB2312" w:cs="宋体"/>
          <w:color w:val="auto"/>
          <w:kern w:val="0"/>
          <w:sz w:val="28"/>
        </w:rPr>
        <w:t>各院系在参评过程中私下拉帮结派等不正当竞争行为。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 Symbol">
    <w:panose1 w:val="020B0502040204020203"/>
    <w:charset w:val="00"/>
    <w:family w:val="auto"/>
    <w:pitch w:val="default"/>
    <w:sig w:usb0="800001E3" w:usb1="1200FFEF" w:usb2="0064C000" w:usb3="04000000" w:csb0="00000001" w:csb1="4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D4D99"/>
    <w:multiLevelType w:val="multilevel"/>
    <w:tmpl w:val="2D7D4D99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0DC124A"/>
    <w:multiLevelType w:val="multilevel"/>
    <w:tmpl w:val="30DC124A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C417E1"/>
    <w:multiLevelType w:val="multilevel"/>
    <w:tmpl w:val="55C417E1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A33484"/>
    <w:multiLevelType w:val="multilevel"/>
    <w:tmpl w:val="58A33484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3F6237A"/>
    <w:multiLevelType w:val="multilevel"/>
    <w:tmpl w:val="63F6237A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7F1"/>
    <w:rsid w:val="00006276"/>
    <w:rsid w:val="00096A85"/>
    <w:rsid w:val="000A4A2A"/>
    <w:rsid w:val="000D7AF5"/>
    <w:rsid w:val="00104BEE"/>
    <w:rsid w:val="001946C3"/>
    <w:rsid w:val="001C58AD"/>
    <w:rsid w:val="002010DF"/>
    <w:rsid w:val="00214895"/>
    <w:rsid w:val="00284211"/>
    <w:rsid w:val="002D56E6"/>
    <w:rsid w:val="002E7E4A"/>
    <w:rsid w:val="00327834"/>
    <w:rsid w:val="003467CA"/>
    <w:rsid w:val="003A5C17"/>
    <w:rsid w:val="004109E8"/>
    <w:rsid w:val="00427D66"/>
    <w:rsid w:val="0044680F"/>
    <w:rsid w:val="004D1E38"/>
    <w:rsid w:val="004D6C47"/>
    <w:rsid w:val="004E1EB3"/>
    <w:rsid w:val="00507906"/>
    <w:rsid w:val="00514745"/>
    <w:rsid w:val="00520CDA"/>
    <w:rsid w:val="005809BD"/>
    <w:rsid w:val="005D704F"/>
    <w:rsid w:val="005E7E6C"/>
    <w:rsid w:val="005F3DE2"/>
    <w:rsid w:val="00601D63"/>
    <w:rsid w:val="00603632"/>
    <w:rsid w:val="00651F16"/>
    <w:rsid w:val="00667778"/>
    <w:rsid w:val="006E5675"/>
    <w:rsid w:val="006F2184"/>
    <w:rsid w:val="00733543"/>
    <w:rsid w:val="00733FB0"/>
    <w:rsid w:val="007A3A8A"/>
    <w:rsid w:val="008F26D7"/>
    <w:rsid w:val="008F703D"/>
    <w:rsid w:val="0091096A"/>
    <w:rsid w:val="009915D8"/>
    <w:rsid w:val="009F7DBD"/>
    <w:rsid w:val="00A23241"/>
    <w:rsid w:val="00A340C9"/>
    <w:rsid w:val="00A363B8"/>
    <w:rsid w:val="00A51019"/>
    <w:rsid w:val="00A82951"/>
    <w:rsid w:val="00A90DA7"/>
    <w:rsid w:val="00A936DA"/>
    <w:rsid w:val="00AB690B"/>
    <w:rsid w:val="00AF7054"/>
    <w:rsid w:val="00B1266C"/>
    <w:rsid w:val="00B4539C"/>
    <w:rsid w:val="00B45D1E"/>
    <w:rsid w:val="00B467F1"/>
    <w:rsid w:val="00B73B6D"/>
    <w:rsid w:val="00B7754D"/>
    <w:rsid w:val="00BB60FD"/>
    <w:rsid w:val="00BB6D3F"/>
    <w:rsid w:val="00BC3ADB"/>
    <w:rsid w:val="00BD0E42"/>
    <w:rsid w:val="00BF4E64"/>
    <w:rsid w:val="00C815AD"/>
    <w:rsid w:val="00D20558"/>
    <w:rsid w:val="00D608BF"/>
    <w:rsid w:val="00D65AC5"/>
    <w:rsid w:val="00DE4638"/>
    <w:rsid w:val="00E62C1B"/>
    <w:rsid w:val="00ED6AF3"/>
    <w:rsid w:val="00F03E92"/>
    <w:rsid w:val="00F21D96"/>
    <w:rsid w:val="00F91F36"/>
    <w:rsid w:val="00FA725F"/>
    <w:rsid w:val="00FA74C8"/>
    <w:rsid w:val="00FE7D34"/>
    <w:rsid w:val="00FF3A8B"/>
    <w:rsid w:val="03A65C8A"/>
    <w:rsid w:val="07BD077B"/>
    <w:rsid w:val="2BA65CF6"/>
    <w:rsid w:val="4650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99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spacing w:line="560" w:lineRule="exact"/>
      <w:ind w:firstLine="640" w:firstLineChars="200"/>
      <w:jc w:val="left"/>
    </w:pPr>
    <w:rPr>
      <w:rFonts w:ascii="仿宋" w:hAnsi="仿宋" w:eastAsia="仿宋"/>
      <w:color w:val="000000"/>
      <w:sz w:val="32"/>
      <w:szCs w:val="32"/>
    </w:rPr>
  </w:style>
  <w:style w:type="paragraph" w:styleId="3">
    <w:name w:val="Body Text Indent 2"/>
    <w:basedOn w:val="1"/>
    <w:link w:val="13"/>
    <w:unhideWhenUsed/>
    <w:uiPriority w:val="99"/>
    <w:pPr>
      <w:spacing w:after="120" w:line="480" w:lineRule="auto"/>
      <w:ind w:left="420" w:leftChars="200"/>
    </w:pPr>
  </w:style>
  <w:style w:type="paragraph" w:styleId="4">
    <w:name w:val="Balloon Text"/>
    <w:basedOn w:val="1"/>
    <w:link w:val="14"/>
    <w:semiHidden/>
    <w:unhideWhenUsed/>
    <w:uiPriority w:val="0"/>
    <w:rPr>
      <w:sz w:val="18"/>
      <w:szCs w:val="18"/>
    </w:rPr>
  </w:style>
  <w:style w:type="paragraph" w:styleId="5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页眉字符"/>
    <w:link w:val="6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字符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正文文本缩进字符"/>
    <w:link w:val="2"/>
    <w:uiPriority w:val="0"/>
    <w:rPr>
      <w:rFonts w:ascii="仿宋" w:hAnsi="仿宋" w:eastAsia="仿宋" w:cs="Times New Roman"/>
      <w:color w:val="000000"/>
      <w:sz w:val="32"/>
      <w:szCs w:val="32"/>
    </w:rPr>
  </w:style>
  <w:style w:type="character" w:customStyle="1" w:styleId="13">
    <w:name w:val="正文文本缩进 2字符"/>
    <w:link w:val="3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4">
    <w:name w:val="批注框文本字符"/>
    <w:basedOn w:val="7"/>
    <w:link w:val="4"/>
    <w:semiHidden/>
    <w:uiPriority w:val="0"/>
    <w:rPr>
      <w:kern w:val="2"/>
      <w:sz w:val="18"/>
      <w:szCs w:val="18"/>
    </w:rPr>
  </w:style>
  <w:style w:type="paragraph" w:styleId="15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9</Pages>
  <Words>606</Words>
  <Characters>3459</Characters>
  <Lines>28</Lines>
  <Paragraphs>8</Paragraphs>
  <ScaleCrop>false</ScaleCrop>
  <LinksUpToDate>false</LinksUpToDate>
  <CharactersWithSpaces>4057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2016-10-23T03:21:00Z</dcterms:created>
  <dc:creator>Windows 用户</dc:creator>
  <cp:lastModifiedBy>WPS_130694309</cp:lastModifiedBy>
  <dcterms:modified xsi:type="dcterms:W3CDTF">2018-03-30T03:43:32Z</dcterms:modified>
  <dc:title>中山大学“十佳”院（系）、中心、附属医院研究生会评优条例(试行)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